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5FF6" w14:textId="77777777" w:rsidR="002F2600" w:rsidRDefault="002F2600" w:rsidP="002F2600">
      <w:pPr>
        <w:spacing w:after="120" w:line="240" w:lineRule="auto"/>
        <w:rPr>
          <w:sz w:val="28"/>
          <w:szCs w:val="28"/>
          <w:lang w:val="fr-CA"/>
        </w:rPr>
      </w:pPr>
      <w:r w:rsidRPr="002F2600">
        <w:rPr>
          <w:sz w:val="28"/>
          <w:szCs w:val="28"/>
          <w:lang w:val="fr-CA"/>
        </w:rPr>
        <w:t>Direction en stratégie et recherche</w:t>
      </w:r>
    </w:p>
    <w:p w14:paraId="572ABDC8" w14:textId="77777777" w:rsidR="00A72625" w:rsidRDefault="00A72625" w:rsidP="002F2600">
      <w:pPr>
        <w:spacing w:after="120" w:line="240" w:lineRule="auto"/>
        <w:rPr>
          <w:sz w:val="28"/>
          <w:szCs w:val="28"/>
          <w:lang w:val="fr-CA"/>
        </w:rPr>
      </w:pPr>
      <w:r w:rsidRPr="00A72625">
        <w:rPr>
          <w:sz w:val="28"/>
          <w:szCs w:val="28"/>
          <w:lang w:val="fr-CA"/>
        </w:rPr>
        <w:t>Groupe Média TFO</w:t>
      </w:r>
    </w:p>
    <w:p w14:paraId="692745CD" w14:textId="6F1458FF" w:rsidR="009250FE" w:rsidRDefault="008A27A7" w:rsidP="007A7240">
      <w:pPr>
        <w:spacing w:after="240" w:line="240" w:lineRule="auto"/>
        <w:rPr>
          <w:sz w:val="22"/>
          <w:szCs w:val="22"/>
          <w:lang w:val="fr-CA"/>
        </w:rPr>
      </w:pPr>
      <w:r w:rsidRPr="008A27A7">
        <w:rPr>
          <w:sz w:val="22"/>
          <w:szCs w:val="22"/>
          <w:lang w:val="fr-CA"/>
        </w:rPr>
        <w:t xml:space="preserve">Lieu </w:t>
      </w:r>
      <w:r w:rsidR="00D62FA2" w:rsidRPr="008A27A7">
        <w:rPr>
          <w:sz w:val="22"/>
          <w:szCs w:val="22"/>
          <w:lang w:val="fr-CA"/>
        </w:rPr>
        <w:t xml:space="preserve">: </w:t>
      </w:r>
      <w:r w:rsidR="002F2600">
        <w:rPr>
          <w:sz w:val="22"/>
          <w:szCs w:val="22"/>
          <w:lang w:val="fr-CA"/>
        </w:rPr>
        <w:t>Virtuel</w:t>
      </w:r>
    </w:p>
    <w:p w14:paraId="55854EC2" w14:textId="77777777" w:rsidR="00803845" w:rsidRPr="00803845" w:rsidRDefault="00803845" w:rsidP="00803845">
      <w:pPr>
        <w:tabs>
          <w:tab w:val="left" w:pos="1"/>
          <w:tab w:val="left" w:pos="2160"/>
          <w:tab w:val="left" w:pos="2880"/>
          <w:tab w:val="left" w:pos="3600"/>
          <w:tab w:val="left" w:pos="4320"/>
          <w:tab w:val="left" w:pos="5040"/>
          <w:tab w:val="left" w:pos="5760"/>
          <w:tab w:val="left" w:pos="6480"/>
          <w:tab w:val="left" w:pos="7200"/>
          <w:tab w:val="left" w:pos="7920"/>
        </w:tabs>
        <w:spacing w:before="120"/>
        <w:jc w:val="both"/>
        <w:rPr>
          <w:sz w:val="18"/>
          <w:szCs w:val="18"/>
          <w:lang w:val="fr-CA"/>
        </w:rPr>
      </w:pPr>
      <w:r w:rsidRPr="00803845">
        <w:rPr>
          <w:sz w:val="18"/>
          <w:szCs w:val="18"/>
          <w:lang w:val="fr-CA"/>
        </w:rPr>
        <w:t xml:space="preserve">Groupe Média TFO (GMTFO) est une entreprise unique où les employés partagent une passion commune : celle de cultiver le goût d’apprendre et de vivre le fait français en Ontario. Les contenus éducatifs et culturels de son offre sont devenus, au cours des années, essentiels à la vitalité de la francophonie en Ontario. </w:t>
      </w:r>
    </w:p>
    <w:p w14:paraId="7698B834" w14:textId="77777777" w:rsidR="00803845" w:rsidRPr="00803845" w:rsidRDefault="00803845" w:rsidP="00803845">
      <w:pPr>
        <w:tabs>
          <w:tab w:val="left" w:pos="1"/>
          <w:tab w:val="left" w:pos="2160"/>
          <w:tab w:val="left" w:pos="2880"/>
          <w:tab w:val="left" w:pos="3600"/>
          <w:tab w:val="left" w:pos="4320"/>
          <w:tab w:val="left" w:pos="5040"/>
          <w:tab w:val="left" w:pos="5760"/>
          <w:tab w:val="left" w:pos="6480"/>
          <w:tab w:val="left" w:pos="7200"/>
          <w:tab w:val="left" w:pos="7920"/>
        </w:tabs>
        <w:spacing w:before="120"/>
        <w:jc w:val="both"/>
        <w:rPr>
          <w:sz w:val="18"/>
          <w:szCs w:val="18"/>
          <w:lang w:val="fr-CA"/>
        </w:rPr>
      </w:pPr>
      <w:r w:rsidRPr="00803845">
        <w:rPr>
          <w:sz w:val="18"/>
          <w:szCs w:val="18"/>
          <w:lang w:val="fr-CA"/>
        </w:rPr>
        <w:t>Invités à mettre en valeur leur créativité et leur passion, les employés de GMTFO évoluent dans un environnement en transformation, tant ce qui touche la mutation des technologies que celui des habitudes de consommation média de nos publics. Au Groupe Média TFO, nous garantissons à nos collaborateurs des emplois captivants et un environnement de travail collégial et stimulant. Si vous souhaitez participer à cette aventure et mettre vos talents à contribution, vous avez frappé à la bonne porte.</w:t>
      </w:r>
    </w:p>
    <w:p w14:paraId="2D5E2305" w14:textId="35C08A50" w:rsidR="00803845" w:rsidRPr="00803845" w:rsidRDefault="007A7240" w:rsidP="007A7240">
      <w:pPr>
        <w:tabs>
          <w:tab w:val="left" w:pos="1"/>
          <w:tab w:val="left" w:pos="2160"/>
          <w:tab w:val="left" w:pos="2880"/>
          <w:tab w:val="left" w:pos="3600"/>
          <w:tab w:val="left" w:pos="4320"/>
          <w:tab w:val="left" w:pos="5040"/>
          <w:tab w:val="left" w:pos="5760"/>
          <w:tab w:val="left" w:pos="6480"/>
          <w:tab w:val="left" w:pos="7200"/>
          <w:tab w:val="left" w:pos="7920"/>
        </w:tabs>
        <w:spacing w:before="240"/>
        <w:jc w:val="both"/>
        <w:rPr>
          <w:b/>
          <w:bCs/>
          <w:color w:val="00B0F0"/>
          <w:sz w:val="18"/>
          <w:szCs w:val="18"/>
          <w:lang w:val="fr-CA"/>
        </w:rPr>
      </w:pPr>
      <w:r>
        <w:rPr>
          <w:b/>
          <w:bCs/>
          <w:color w:val="00B0F0"/>
          <w:sz w:val="18"/>
          <w:szCs w:val="18"/>
          <w:lang w:val="fr-CA"/>
        </w:rPr>
        <w:t>Description générale du poste</w:t>
      </w:r>
      <w:r w:rsidR="00803845" w:rsidRPr="00803845">
        <w:rPr>
          <w:b/>
          <w:bCs/>
          <w:color w:val="00B0F0"/>
          <w:sz w:val="18"/>
          <w:szCs w:val="18"/>
          <w:lang w:val="fr-CA"/>
        </w:rPr>
        <w:t xml:space="preserve"> </w:t>
      </w:r>
    </w:p>
    <w:p w14:paraId="79DBFE89" w14:textId="77777777" w:rsidR="002F2600" w:rsidRPr="00C8129E" w:rsidRDefault="002F2600" w:rsidP="002F2600">
      <w:pPr>
        <w:spacing w:before="120"/>
        <w:jc w:val="both"/>
        <w:rPr>
          <w:sz w:val="18"/>
          <w:szCs w:val="18"/>
          <w:lang w:val="fr-CA"/>
        </w:rPr>
      </w:pPr>
      <w:r w:rsidRPr="00C8129E">
        <w:rPr>
          <w:sz w:val="18"/>
          <w:szCs w:val="18"/>
          <w:lang w:val="fr-CA"/>
        </w:rPr>
        <w:t>Sous la direction du Vice</w:t>
      </w:r>
      <w:r>
        <w:rPr>
          <w:sz w:val="18"/>
          <w:szCs w:val="18"/>
          <w:lang w:val="fr-CA"/>
        </w:rPr>
        <w:t>-</w:t>
      </w:r>
      <w:r w:rsidRPr="00C8129E">
        <w:rPr>
          <w:sz w:val="18"/>
          <w:szCs w:val="18"/>
          <w:lang w:val="fr-CA"/>
        </w:rPr>
        <w:t>présiden</w:t>
      </w:r>
      <w:r>
        <w:rPr>
          <w:sz w:val="18"/>
          <w:szCs w:val="18"/>
          <w:lang w:val="fr-CA"/>
        </w:rPr>
        <w:t>t</w:t>
      </w:r>
      <w:r w:rsidRPr="00C8129E">
        <w:rPr>
          <w:sz w:val="18"/>
          <w:szCs w:val="18"/>
          <w:lang w:val="fr-CA"/>
        </w:rPr>
        <w:t xml:space="preserve"> et chef de l</w:t>
      </w:r>
      <w:r>
        <w:rPr>
          <w:sz w:val="18"/>
          <w:szCs w:val="18"/>
          <w:lang w:val="fr-CA"/>
        </w:rPr>
        <w:t>’</w:t>
      </w:r>
      <w:r w:rsidRPr="00C8129E">
        <w:rPr>
          <w:sz w:val="18"/>
          <w:szCs w:val="18"/>
          <w:lang w:val="fr-CA"/>
        </w:rPr>
        <w:t>exploitation, la Direct</w:t>
      </w:r>
      <w:r>
        <w:rPr>
          <w:sz w:val="18"/>
          <w:szCs w:val="18"/>
          <w:lang w:val="fr-CA"/>
        </w:rPr>
        <w:t>ion</w:t>
      </w:r>
      <w:r w:rsidRPr="00C8129E">
        <w:rPr>
          <w:sz w:val="18"/>
          <w:szCs w:val="18"/>
          <w:lang w:val="fr-CA"/>
        </w:rPr>
        <w:t xml:space="preserve"> en stratégie et recherche est responsable de soutenir et conseiller la Cheffe de la Direction générale et le comité de direction en les accompagnant, à chaque trois ans, dans le développement du plan stratégique qui inclut l</w:t>
      </w:r>
      <w:r>
        <w:rPr>
          <w:sz w:val="18"/>
          <w:szCs w:val="18"/>
          <w:lang w:val="fr-CA"/>
        </w:rPr>
        <w:t>’</w:t>
      </w:r>
      <w:r w:rsidRPr="00C8129E">
        <w:rPr>
          <w:sz w:val="18"/>
          <w:szCs w:val="18"/>
          <w:lang w:val="fr-CA"/>
        </w:rPr>
        <w:t>élaboration d</w:t>
      </w:r>
      <w:r>
        <w:rPr>
          <w:sz w:val="18"/>
          <w:szCs w:val="18"/>
          <w:lang w:val="fr-CA"/>
        </w:rPr>
        <w:t>’</w:t>
      </w:r>
      <w:r w:rsidRPr="00C8129E">
        <w:rPr>
          <w:sz w:val="18"/>
          <w:szCs w:val="18"/>
          <w:lang w:val="fr-CA"/>
        </w:rPr>
        <w:t>études et de recherches avancées, pour alimenter les discussions. La personne en poste travaille avec le comité de direction sur la mise en œuvre du plan stratégique en identifiant les plans d</w:t>
      </w:r>
      <w:r>
        <w:rPr>
          <w:sz w:val="18"/>
          <w:szCs w:val="18"/>
          <w:lang w:val="fr-CA"/>
        </w:rPr>
        <w:t>’</w:t>
      </w:r>
      <w:r w:rsidRPr="00C8129E">
        <w:rPr>
          <w:sz w:val="18"/>
          <w:szCs w:val="18"/>
          <w:lang w:val="fr-CA"/>
        </w:rPr>
        <w:t>actions afin d</w:t>
      </w:r>
      <w:r>
        <w:rPr>
          <w:sz w:val="18"/>
          <w:szCs w:val="18"/>
          <w:lang w:val="fr-CA"/>
        </w:rPr>
        <w:t>’</w:t>
      </w:r>
      <w:r w:rsidRPr="00C8129E">
        <w:rPr>
          <w:sz w:val="18"/>
          <w:szCs w:val="18"/>
          <w:lang w:val="fr-CA"/>
        </w:rPr>
        <w:t xml:space="preserve">atteindre les objectifs de TFO et elle se charge du suivi à travers des indicateurs clés. </w:t>
      </w:r>
    </w:p>
    <w:p w14:paraId="07C0BA32" w14:textId="77777777" w:rsidR="002F2600" w:rsidRPr="00C8129E" w:rsidRDefault="002F2600" w:rsidP="002F2600">
      <w:pPr>
        <w:spacing w:before="120"/>
        <w:jc w:val="both"/>
        <w:rPr>
          <w:sz w:val="18"/>
          <w:szCs w:val="18"/>
          <w:lang w:val="fr-CA"/>
        </w:rPr>
      </w:pPr>
      <w:r w:rsidRPr="00C8129E">
        <w:rPr>
          <w:sz w:val="18"/>
          <w:szCs w:val="18"/>
          <w:lang w:val="fr-CA"/>
        </w:rPr>
        <w:t>Avec le comité de direction, la Direct</w:t>
      </w:r>
      <w:r>
        <w:rPr>
          <w:sz w:val="18"/>
          <w:szCs w:val="18"/>
          <w:lang w:val="fr-CA"/>
        </w:rPr>
        <w:t>ion</w:t>
      </w:r>
      <w:r w:rsidRPr="00C8129E">
        <w:rPr>
          <w:sz w:val="18"/>
          <w:szCs w:val="18"/>
          <w:lang w:val="fr-CA"/>
        </w:rPr>
        <w:t xml:space="preserve"> en stratégie et recherche est aussi responsable de rédiger le plan d</w:t>
      </w:r>
      <w:r>
        <w:rPr>
          <w:sz w:val="18"/>
          <w:szCs w:val="18"/>
          <w:lang w:val="fr-CA"/>
        </w:rPr>
        <w:t>’</w:t>
      </w:r>
      <w:r w:rsidRPr="00C8129E">
        <w:rPr>
          <w:sz w:val="18"/>
          <w:szCs w:val="18"/>
          <w:lang w:val="fr-CA"/>
        </w:rPr>
        <w:t xml:space="preserve">affaires annuel qui découle du plan stratégique et gérer le processus pour sa soumission au </w:t>
      </w:r>
      <w:proofErr w:type="gramStart"/>
      <w:r w:rsidRPr="00C8129E">
        <w:rPr>
          <w:sz w:val="18"/>
          <w:szCs w:val="18"/>
          <w:lang w:val="fr-CA"/>
        </w:rPr>
        <w:t>Ministère de l</w:t>
      </w:r>
      <w:r>
        <w:rPr>
          <w:sz w:val="18"/>
          <w:szCs w:val="18"/>
          <w:lang w:val="fr-CA"/>
        </w:rPr>
        <w:t>’É</w:t>
      </w:r>
      <w:r w:rsidRPr="00C8129E">
        <w:rPr>
          <w:sz w:val="18"/>
          <w:szCs w:val="18"/>
          <w:lang w:val="fr-CA"/>
        </w:rPr>
        <w:t>ducation</w:t>
      </w:r>
      <w:proofErr w:type="gramEnd"/>
      <w:r w:rsidRPr="00C8129E">
        <w:rPr>
          <w:sz w:val="18"/>
          <w:szCs w:val="18"/>
          <w:lang w:val="fr-CA"/>
        </w:rPr>
        <w:t xml:space="preserve"> dans leurs échéances. </w:t>
      </w:r>
    </w:p>
    <w:p w14:paraId="07B3BD59" w14:textId="77777777" w:rsidR="002F2600" w:rsidRDefault="002F2600" w:rsidP="002F2600">
      <w:pPr>
        <w:spacing w:before="120"/>
        <w:jc w:val="both"/>
        <w:rPr>
          <w:sz w:val="18"/>
          <w:szCs w:val="18"/>
          <w:lang w:val="fr-CA"/>
        </w:rPr>
      </w:pPr>
      <w:r w:rsidRPr="00C8129E">
        <w:rPr>
          <w:sz w:val="18"/>
          <w:szCs w:val="18"/>
          <w:lang w:val="fr-CA"/>
        </w:rPr>
        <w:t xml:space="preserve">Enfin, la personne supporte </w:t>
      </w:r>
      <w:r>
        <w:rPr>
          <w:sz w:val="18"/>
          <w:szCs w:val="18"/>
          <w:lang w:val="fr-CA"/>
        </w:rPr>
        <w:t>la haute gestion</w:t>
      </w:r>
      <w:r w:rsidRPr="00C8129E">
        <w:rPr>
          <w:sz w:val="18"/>
          <w:szCs w:val="18"/>
          <w:lang w:val="fr-CA"/>
        </w:rPr>
        <w:t xml:space="preserve"> dans la </w:t>
      </w:r>
      <w:r>
        <w:rPr>
          <w:sz w:val="18"/>
          <w:szCs w:val="18"/>
          <w:lang w:val="fr-CA"/>
        </w:rPr>
        <w:t>réalisation</w:t>
      </w:r>
      <w:r w:rsidRPr="00C8129E">
        <w:rPr>
          <w:sz w:val="18"/>
          <w:szCs w:val="18"/>
          <w:lang w:val="fr-CA"/>
        </w:rPr>
        <w:t xml:space="preserve"> de projets spéciaux et la production d</w:t>
      </w:r>
      <w:r>
        <w:rPr>
          <w:sz w:val="18"/>
          <w:szCs w:val="18"/>
          <w:lang w:val="fr-CA"/>
        </w:rPr>
        <w:t>’</w:t>
      </w:r>
      <w:r w:rsidRPr="00C8129E">
        <w:rPr>
          <w:sz w:val="18"/>
          <w:szCs w:val="18"/>
          <w:lang w:val="fr-CA"/>
        </w:rPr>
        <w:t>ententes de partenariat et de documents stratégiques.</w:t>
      </w:r>
    </w:p>
    <w:p w14:paraId="36F82736" w14:textId="0CE330BC" w:rsidR="005A360F" w:rsidRPr="00803845" w:rsidRDefault="005A360F" w:rsidP="005A360F">
      <w:pPr>
        <w:tabs>
          <w:tab w:val="left" w:pos="1"/>
          <w:tab w:val="left" w:pos="2160"/>
          <w:tab w:val="left" w:pos="2880"/>
          <w:tab w:val="left" w:pos="3600"/>
          <w:tab w:val="left" w:pos="4320"/>
          <w:tab w:val="left" w:pos="5040"/>
          <w:tab w:val="left" w:pos="5760"/>
          <w:tab w:val="left" w:pos="6480"/>
          <w:tab w:val="left" w:pos="7200"/>
          <w:tab w:val="left" w:pos="7920"/>
        </w:tabs>
        <w:spacing w:before="240"/>
        <w:jc w:val="both"/>
        <w:rPr>
          <w:b/>
          <w:bCs/>
          <w:sz w:val="20"/>
          <w:szCs w:val="20"/>
          <w:lang w:val="fr-CA"/>
        </w:rPr>
      </w:pPr>
      <w:r>
        <w:rPr>
          <w:b/>
          <w:bCs/>
          <w:sz w:val="20"/>
          <w:szCs w:val="20"/>
          <w:lang w:val="fr-CA"/>
        </w:rPr>
        <w:t>Imputabilités particulières</w:t>
      </w:r>
    </w:p>
    <w:p w14:paraId="03587240" w14:textId="4618436C" w:rsidR="00803845" w:rsidRPr="00803845" w:rsidRDefault="00803845" w:rsidP="007A7240">
      <w:pPr>
        <w:tabs>
          <w:tab w:val="left" w:pos="1"/>
          <w:tab w:val="left" w:pos="2160"/>
          <w:tab w:val="left" w:pos="2880"/>
          <w:tab w:val="left" w:pos="3600"/>
          <w:tab w:val="left" w:pos="4320"/>
          <w:tab w:val="left" w:pos="5040"/>
          <w:tab w:val="left" w:pos="5760"/>
          <w:tab w:val="left" w:pos="6480"/>
          <w:tab w:val="left" w:pos="7200"/>
          <w:tab w:val="left" w:pos="7920"/>
        </w:tabs>
        <w:spacing w:before="240" w:after="120"/>
        <w:jc w:val="both"/>
        <w:rPr>
          <w:b/>
          <w:bCs/>
          <w:color w:val="00B0F0"/>
          <w:sz w:val="18"/>
          <w:szCs w:val="18"/>
          <w:lang w:val="fr-CA"/>
        </w:rPr>
      </w:pPr>
      <w:r w:rsidRPr="00803845">
        <w:rPr>
          <w:b/>
          <w:bCs/>
          <w:color w:val="00B0F0"/>
          <w:sz w:val="18"/>
          <w:szCs w:val="18"/>
          <w:lang w:val="fr-CA"/>
        </w:rPr>
        <w:t xml:space="preserve">Tâches et responsabilités </w:t>
      </w:r>
    </w:p>
    <w:p w14:paraId="722DD529" w14:textId="77777777" w:rsidR="002F2600" w:rsidRPr="00C8129E" w:rsidRDefault="002F2600" w:rsidP="002F2600">
      <w:pPr>
        <w:pStyle w:val="ListParagraph"/>
        <w:numPr>
          <w:ilvl w:val="0"/>
          <w:numId w:val="8"/>
        </w:numPr>
        <w:jc w:val="both"/>
        <w:rPr>
          <w:sz w:val="18"/>
          <w:szCs w:val="18"/>
          <w:lang w:val="fr-CA"/>
        </w:rPr>
      </w:pPr>
      <w:r w:rsidRPr="00C8129E">
        <w:rPr>
          <w:sz w:val="18"/>
          <w:szCs w:val="18"/>
          <w:lang w:val="fr-CA"/>
        </w:rPr>
        <w:t>Fournir des conseils stratégiques et des recommandations/options au comité de direction</w:t>
      </w:r>
      <w:r>
        <w:rPr>
          <w:sz w:val="18"/>
          <w:szCs w:val="18"/>
          <w:lang w:val="fr-CA"/>
        </w:rPr>
        <w:t>;</w:t>
      </w:r>
    </w:p>
    <w:p w14:paraId="6357814D" w14:textId="77777777" w:rsidR="002F2600" w:rsidRPr="00C8129E" w:rsidRDefault="002F2600" w:rsidP="002F2600">
      <w:pPr>
        <w:pStyle w:val="ListParagraph"/>
        <w:numPr>
          <w:ilvl w:val="0"/>
          <w:numId w:val="8"/>
        </w:numPr>
        <w:jc w:val="both"/>
        <w:rPr>
          <w:sz w:val="18"/>
          <w:szCs w:val="18"/>
          <w:lang w:val="fr-CA"/>
        </w:rPr>
      </w:pPr>
      <w:r w:rsidRPr="00C8129E">
        <w:rPr>
          <w:sz w:val="18"/>
          <w:szCs w:val="18"/>
          <w:lang w:val="fr-CA"/>
        </w:rPr>
        <w:t>Diriger et supporter la haute gestion dans la préparation, la rédaction et le suivi du plan stratégique</w:t>
      </w:r>
      <w:r>
        <w:rPr>
          <w:sz w:val="18"/>
          <w:szCs w:val="18"/>
          <w:lang w:val="fr-CA"/>
        </w:rPr>
        <w:t>;</w:t>
      </w:r>
      <w:r w:rsidRPr="00C8129E">
        <w:rPr>
          <w:sz w:val="18"/>
          <w:szCs w:val="18"/>
          <w:lang w:val="fr-CA"/>
        </w:rPr>
        <w:t xml:space="preserve"> </w:t>
      </w:r>
    </w:p>
    <w:p w14:paraId="2F08471B" w14:textId="77777777" w:rsidR="002F2600" w:rsidRPr="00C8129E" w:rsidRDefault="002F2600" w:rsidP="002F2600">
      <w:pPr>
        <w:pStyle w:val="ListParagraph"/>
        <w:numPr>
          <w:ilvl w:val="0"/>
          <w:numId w:val="8"/>
        </w:numPr>
        <w:jc w:val="both"/>
        <w:rPr>
          <w:sz w:val="18"/>
          <w:szCs w:val="18"/>
          <w:lang w:val="fr-CA"/>
        </w:rPr>
      </w:pPr>
      <w:r w:rsidRPr="00C8129E">
        <w:rPr>
          <w:sz w:val="18"/>
          <w:szCs w:val="18"/>
          <w:lang w:val="fr-CA"/>
        </w:rPr>
        <w:t>Diriger et effectuer des recherches reliées au mandat de TFO, interpréter et analyser des données, et préparer des rapports, incluant la formulation de recommandations</w:t>
      </w:r>
      <w:r>
        <w:rPr>
          <w:sz w:val="18"/>
          <w:szCs w:val="18"/>
          <w:lang w:val="fr-CA"/>
        </w:rPr>
        <w:t>;</w:t>
      </w:r>
    </w:p>
    <w:p w14:paraId="6B9CB25E" w14:textId="77777777" w:rsidR="002F2600" w:rsidRPr="00C8129E" w:rsidRDefault="002F2600" w:rsidP="002F2600">
      <w:pPr>
        <w:pStyle w:val="ListParagraph"/>
        <w:numPr>
          <w:ilvl w:val="0"/>
          <w:numId w:val="8"/>
        </w:numPr>
        <w:jc w:val="both"/>
        <w:rPr>
          <w:sz w:val="18"/>
          <w:szCs w:val="18"/>
          <w:lang w:val="fr-CA"/>
        </w:rPr>
      </w:pPr>
      <w:r w:rsidRPr="00C8129E">
        <w:rPr>
          <w:sz w:val="18"/>
          <w:szCs w:val="18"/>
          <w:lang w:val="fr-CA"/>
        </w:rPr>
        <w:t>Réaliser un travail de veille sur les indicateurs clés pour assurer la collecte et l</w:t>
      </w:r>
      <w:r>
        <w:rPr>
          <w:sz w:val="18"/>
          <w:szCs w:val="18"/>
          <w:lang w:val="fr-CA"/>
        </w:rPr>
        <w:t>’</w:t>
      </w:r>
      <w:r w:rsidRPr="00C8129E">
        <w:rPr>
          <w:sz w:val="18"/>
          <w:szCs w:val="18"/>
          <w:lang w:val="fr-CA"/>
        </w:rPr>
        <w:t>analyse de données, identifier les tendances et enjeux, et formuler des recommandations</w:t>
      </w:r>
      <w:r>
        <w:rPr>
          <w:sz w:val="18"/>
          <w:szCs w:val="18"/>
          <w:lang w:val="fr-CA"/>
        </w:rPr>
        <w:t>;</w:t>
      </w:r>
    </w:p>
    <w:p w14:paraId="7573BF00" w14:textId="77777777" w:rsidR="002F2600" w:rsidRPr="00C8129E" w:rsidRDefault="002F2600" w:rsidP="002F2600">
      <w:pPr>
        <w:pStyle w:val="ListParagraph"/>
        <w:numPr>
          <w:ilvl w:val="0"/>
          <w:numId w:val="8"/>
        </w:numPr>
        <w:jc w:val="both"/>
        <w:rPr>
          <w:sz w:val="18"/>
          <w:szCs w:val="18"/>
          <w:lang w:val="fr-CA"/>
        </w:rPr>
      </w:pPr>
      <w:r w:rsidRPr="00C8129E">
        <w:rPr>
          <w:sz w:val="18"/>
          <w:szCs w:val="18"/>
          <w:lang w:val="fr-CA"/>
        </w:rPr>
        <w:lastRenderedPageBreak/>
        <w:t>Rédiger le plan d</w:t>
      </w:r>
      <w:r>
        <w:rPr>
          <w:sz w:val="18"/>
          <w:szCs w:val="18"/>
          <w:lang w:val="fr-CA"/>
        </w:rPr>
        <w:t>’</w:t>
      </w:r>
      <w:r w:rsidRPr="00C8129E">
        <w:rPr>
          <w:sz w:val="18"/>
          <w:szCs w:val="18"/>
          <w:lang w:val="fr-CA"/>
        </w:rPr>
        <w:t>affaires et tout autre document connexe pertinent</w:t>
      </w:r>
      <w:r>
        <w:rPr>
          <w:sz w:val="18"/>
          <w:szCs w:val="18"/>
          <w:lang w:val="fr-CA"/>
        </w:rPr>
        <w:t>;</w:t>
      </w:r>
    </w:p>
    <w:p w14:paraId="747350C4" w14:textId="77777777" w:rsidR="002F2600" w:rsidRPr="00C8129E" w:rsidRDefault="002F2600" w:rsidP="002F2600">
      <w:pPr>
        <w:pStyle w:val="ListParagraph"/>
        <w:numPr>
          <w:ilvl w:val="0"/>
          <w:numId w:val="8"/>
        </w:numPr>
        <w:jc w:val="both"/>
        <w:rPr>
          <w:sz w:val="18"/>
          <w:szCs w:val="18"/>
          <w:lang w:val="fr-CA"/>
        </w:rPr>
      </w:pPr>
      <w:r w:rsidRPr="00C8129E">
        <w:rPr>
          <w:sz w:val="18"/>
          <w:szCs w:val="18"/>
          <w:lang w:val="fr-CA"/>
        </w:rPr>
        <w:t>Préparer des notes d</w:t>
      </w:r>
      <w:r>
        <w:rPr>
          <w:sz w:val="18"/>
          <w:szCs w:val="18"/>
          <w:lang w:val="fr-CA"/>
        </w:rPr>
        <w:t>’</w:t>
      </w:r>
      <w:r w:rsidRPr="00C8129E">
        <w:rPr>
          <w:sz w:val="18"/>
          <w:szCs w:val="18"/>
          <w:lang w:val="fr-CA"/>
        </w:rPr>
        <w:t>information et des documents de travail</w:t>
      </w:r>
      <w:r>
        <w:rPr>
          <w:sz w:val="18"/>
          <w:szCs w:val="18"/>
          <w:lang w:val="fr-CA"/>
        </w:rPr>
        <w:t>;</w:t>
      </w:r>
    </w:p>
    <w:p w14:paraId="06EE7375" w14:textId="77777777" w:rsidR="002F2600" w:rsidRPr="00C8129E" w:rsidRDefault="002F2600" w:rsidP="002F2600">
      <w:pPr>
        <w:pStyle w:val="ListParagraph"/>
        <w:numPr>
          <w:ilvl w:val="0"/>
          <w:numId w:val="8"/>
        </w:numPr>
        <w:jc w:val="both"/>
        <w:rPr>
          <w:sz w:val="18"/>
          <w:szCs w:val="18"/>
          <w:lang w:val="fr-CA"/>
        </w:rPr>
      </w:pPr>
      <w:r w:rsidRPr="00C8129E">
        <w:rPr>
          <w:sz w:val="18"/>
          <w:szCs w:val="18"/>
          <w:lang w:val="fr-CA"/>
        </w:rPr>
        <w:t>Produire des documents stratégiques, tels que ententes de partenariat, rapports, notes de synthèse et présentations</w:t>
      </w:r>
      <w:r>
        <w:rPr>
          <w:sz w:val="18"/>
          <w:szCs w:val="18"/>
          <w:lang w:val="fr-CA"/>
        </w:rPr>
        <w:t>;</w:t>
      </w:r>
    </w:p>
    <w:p w14:paraId="04CFF38C" w14:textId="77777777" w:rsidR="002F2600" w:rsidRPr="00C8129E" w:rsidRDefault="002F2600" w:rsidP="002F2600">
      <w:pPr>
        <w:pStyle w:val="ListParagraph"/>
        <w:numPr>
          <w:ilvl w:val="0"/>
          <w:numId w:val="8"/>
        </w:numPr>
        <w:jc w:val="both"/>
        <w:rPr>
          <w:sz w:val="18"/>
          <w:szCs w:val="18"/>
          <w:lang w:val="fr-CA"/>
        </w:rPr>
      </w:pPr>
      <w:r w:rsidRPr="00C8129E">
        <w:rPr>
          <w:sz w:val="18"/>
          <w:szCs w:val="18"/>
          <w:lang w:val="fr-CA"/>
        </w:rPr>
        <w:t>Mener la préparation et le suivi des autres documents répondant aux obligations de TFO en matière de rapports vis-à-vis du gouvernement, tels que le Rapport annuel, le Rapport d</w:t>
      </w:r>
      <w:r>
        <w:rPr>
          <w:sz w:val="18"/>
          <w:szCs w:val="18"/>
          <w:lang w:val="fr-CA"/>
        </w:rPr>
        <w:t>’</w:t>
      </w:r>
      <w:r w:rsidRPr="00C8129E">
        <w:rPr>
          <w:sz w:val="18"/>
          <w:szCs w:val="18"/>
          <w:lang w:val="fr-CA"/>
        </w:rPr>
        <w:t>évaluation des risques, Plan d`intervention en cas d</w:t>
      </w:r>
      <w:r>
        <w:rPr>
          <w:sz w:val="18"/>
          <w:szCs w:val="18"/>
          <w:lang w:val="fr-CA"/>
        </w:rPr>
        <w:t>’</w:t>
      </w:r>
      <w:r w:rsidRPr="00C8129E">
        <w:rPr>
          <w:sz w:val="18"/>
          <w:szCs w:val="18"/>
          <w:lang w:val="fr-CA"/>
        </w:rPr>
        <w:t xml:space="preserve">urgence, etc., en collaboration avec la </w:t>
      </w:r>
      <w:r>
        <w:rPr>
          <w:sz w:val="18"/>
          <w:szCs w:val="18"/>
          <w:lang w:val="fr-CA"/>
        </w:rPr>
        <w:t>haute gestion;</w:t>
      </w:r>
    </w:p>
    <w:p w14:paraId="38BF037F" w14:textId="77777777" w:rsidR="002F2600" w:rsidRPr="00C8129E" w:rsidRDefault="002F2600" w:rsidP="002F2600">
      <w:pPr>
        <w:pStyle w:val="ListParagraph"/>
        <w:numPr>
          <w:ilvl w:val="0"/>
          <w:numId w:val="8"/>
        </w:numPr>
        <w:jc w:val="both"/>
        <w:rPr>
          <w:sz w:val="18"/>
          <w:szCs w:val="18"/>
          <w:lang w:val="fr-CA"/>
        </w:rPr>
      </w:pPr>
      <w:r w:rsidRPr="00C8129E">
        <w:rPr>
          <w:sz w:val="18"/>
          <w:szCs w:val="18"/>
          <w:lang w:val="fr-CA"/>
        </w:rPr>
        <w:t>Gérer des projets spéciaux</w:t>
      </w:r>
      <w:r>
        <w:rPr>
          <w:sz w:val="18"/>
          <w:szCs w:val="18"/>
          <w:lang w:val="fr-CA"/>
        </w:rPr>
        <w:t>;</w:t>
      </w:r>
    </w:p>
    <w:p w14:paraId="12F5FD79" w14:textId="77777777" w:rsidR="002F2600" w:rsidRPr="00C8129E" w:rsidRDefault="002F2600" w:rsidP="002F2600">
      <w:pPr>
        <w:pStyle w:val="ListParagraph"/>
        <w:numPr>
          <w:ilvl w:val="0"/>
          <w:numId w:val="8"/>
        </w:numPr>
        <w:jc w:val="both"/>
        <w:rPr>
          <w:sz w:val="18"/>
          <w:szCs w:val="18"/>
          <w:lang w:val="fr-CA"/>
        </w:rPr>
      </w:pPr>
      <w:r w:rsidRPr="00C8129E">
        <w:rPr>
          <w:sz w:val="18"/>
          <w:szCs w:val="18"/>
          <w:lang w:val="fr-CA"/>
        </w:rPr>
        <w:t>Interagir avec une variété de parties prenantes</w:t>
      </w:r>
      <w:r>
        <w:rPr>
          <w:sz w:val="18"/>
          <w:szCs w:val="18"/>
          <w:lang w:val="fr-CA"/>
        </w:rPr>
        <w:t>;</w:t>
      </w:r>
    </w:p>
    <w:p w14:paraId="0209D8BD" w14:textId="77777777" w:rsidR="002F2600" w:rsidRPr="00C8129E" w:rsidRDefault="002F2600" w:rsidP="002F2600">
      <w:pPr>
        <w:pStyle w:val="ListParagraph"/>
        <w:numPr>
          <w:ilvl w:val="0"/>
          <w:numId w:val="8"/>
        </w:numPr>
        <w:jc w:val="both"/>
        <w:rPr>
          <w:sz w:val="18"/>
          <w:szCs w:val="18"/>
          <w:lang w:val="fr-CA"/>
        </w:rPr>
      </w:pPr>
      <w:r w:rsidRPr="00C8129E">
        <w:rPr>
          <w:sz w:val="18"/>
          <w:szCs w:val="18"/>
          <w:lang w:val="fr-CA"/>
        </w:rPr>
        <w:t>Collaborer avec, entre autres, les représentants du gouvernement, les partenaires éducatifs et communautaires pour faciliter l</w:t>
      </w:r>
      <w:r>
        <w:rPr>
          <w:sz w:val="18"/>
          <w:szCs w:val="18"/>
          <w:lang w:val="fr-CA"/>
        </w:rPr>
        <w:t>’</w:t>
      </w:r>
      <w:r w:rsidRPr="00C8129E">
        <w:rPr>
          <w:sz w:val="18"/>
          <w:szCs w:val="18"/>
          <w:lang w:val="fr-CA"/>
        </w:rPr>
        <w:t>avancée des priorités et initiatives-clés de TFO</w:t>
      </w:r>
      <w:r>
        <w:rPr>
          <w:sz w:val="18"/>
          <w:szCs w:val="18"/>
          <w:lang w:val="fr-CA"/>
        </w:rPr>
        <w:t>;</w:t>
      </w:r>
    </w:p>
    <w:p w14:paraId="4ECC6C9A" w14:textId="77777777" w:rsidR="002F2600" w:rsidRDefault="002F2600" w:rsidP="002F2600">
      <w:pPr>
        <w:pStyle w:val="ListParagraph"/>
        <w:numPr>
          <w:ilvl w:val="0"/>
          <w:numId w:val="8"/>
        </w:numPr>
        <w:jc w:val="both"/>
        <w:rPr>
          <w:sz w:val="18"/>
          <w:szCs w:val="18"/>
          <w:lang w:val="fr-CA"/>
        </w:rPr>
      </w:pPr>
      <w:r w:rsidRPr="00C8129E">
        <w:rPr>
          <w:sz w:val="18"/>
          <w:szCs w:val="18"/>
          <w:lang w:val="fr-CA"/>
        </w:rPr>
        <w:t>Ainsi que l</w:t>
      </w:r>
      <w:r>
        <w:rPr>
          <w:sz w:val="18"/>
          <w:szCs w:val="18"/>
          <w:lang w:val="fr-CA"/>
        </w:rPr>
        <w:t>’</w:t>
      </w:r>
      <w:r w:rsidRPr="00C8129E">
        <w:rPr>
          <w:sz w:val="18"/>
          <w:szCs w:val="18"/>
          <w:lang w:val="fr-CA"/>
        </w:rPr>
        <w:t>exécution d</w:t>
      </w:r>
      <w:r>
        <w:rPr>
          <w:sz w:val="18"/>
          <w:szCs w:val="18"/>
          <w:lang w:val="fr-CA"/>
        </w:rPr>
        <w:t>’</w:t>
      </w:r>
      <w:r w:rsidRPr="00C8129E">
        <w:rPr>
          <w:sz w:val="18"/>
          <w:szCs w:val="18"/>
          <w:lang w:val="fr-CA"/>
        </w:rPr>
        <w:t>autres tâches connexes.</w:t>
      </w:r>
    </w:p>
    <w:p w14:paraId="2B6158B1" w14:textId="0DFAE809" w:rsidR="00803845" w:rsidRPr="00803845" w:rsidRDefault="007A7240" w:rsidP="007A7240">
      <w:pPr>
        <w:tabs>
          <w:tab w:val="left" w:pos="1"/>
          <w:tab w:val="left" w:pos="2160"/>
          <w:tab w:val="left" w:pos="2880"/>
          <w:tab w:val="left" w:pos="3600"/>
          <w:tab w:val="left" w:pos="4320"/>
          <w:tab w:val="left" w:pos="5040"/>
          <w:tab w:val="left" w:pos="5760"/>
          <w:tab w:val="left" w:pos="6480"/>
          <w:tab w:val="left" w:pos="7200"/>
          <w:tab w:val="left" w:pos="7920"/>
        </w:tabs>
        <w:spacing w:before="240"/>
        <w:jc w:val="both"/>
        <w:rPr>
          <w:b/>
          <w:bCs/>
          <w:sz w:val="20"/>
          <w:szCs w:val="20"/>
          <w:lang w:val="fr-CA"/>
        </w:rPr>
      </w:pPr>
      <w:r>
        <w:rPr>
          <w:b/>
          <w:bCs/>
          <w:sz w:val="20"/>
          <w:szCs w:val="20"/>
          <w:lang w:val="fr-CA"/>
        </w:rPr>
        <w:t>Profil idéal</w:t>
      </w:r>
    </w:p>
    <w:p w14:paraId="496A50D2" w14:textId="77777777" w:rsidR="00DF5226" w:rsidRPr="00A01B84" w:rsidRDefault="00DF5226" w:rsidP="00DF5226">
      <w:pPr>
        <w:widowControl/>
        <w:suppressAutoHyphens w:val="0"/>
        <w:spacing w:after="160"/>
        <w:jc w:val="both"/>
        <w:rPr>
          <w:rFonts w:cs="Arial"/>
          <w:b/>
          <w:color w:val="00B0F0"/>
          <w:sz w:val="18"/>
          <w:szCs w:val="18"/>
          <w:lang w:val="fr-CA"/>
        </w:rPr>
      </w:pPr>
      <w:r w:rsidRPr="00A01B84">
        <w:rPr>
          <w:rFonts w:cs="Arial"/>
          <w:b/>
          <w:color w:val="00B0F0"/>
          <w:sz w:val="18"/>
          <w:szCs w:val="18"/>
          <w:lang w:val="fr-CA"/>
        </w:rPr>
        <w:t>Aptitudes</w:t>
      </w:r>
      <w:r>
        <w:rPr>
          <w:rFonts w:cs="Arial"/>
          <w:b/>
          <w:color w:val="00B0F0"/>
          <w:sz w:val="18"/>
          <w:szCs w:val="18"/>
          <w:lang w:val="fr-CA"/>
        </w:rPr>
        <w:t>, connaissances et c</w:t>
      </w:r>
      <w:r w:rsidRPr="00A01B84">
        <w:rPr>
          <w:rFonts w:cs="Arial"/>
          <w:b/>
          <w:color w:val="00B0F0"/>
          <w:sz w:val="18"/>
          <w:szCs w:val="18"/>
          <w:lang w:val="fr-CA"/>
        </w:rPr>
        <w:t>ompétences</w:t>
      </w:r>
    </w:p>
    <w:p w14:paraId="0EAB5D90" w14:textId="77777777" w:rsidR="00DF5226" w:rsidRPr="00C8129E" w:rsidRDefault="00DF5226" w:rsidP="00DF5226">
      <w:pPr>
        <w:pStyle w:val="ListParagraph"/>
        <w:widowControl/>
        <w:numPr>
          <w:ilvl w:val="0"/>
          <w:numId w:val="11"/>
        </w:numPr>
        <w:suppressAutoHyphens w:val="0"/>
        <w:spacing w:after="160"/>
        <w:jc w:val="both"/>
        <w:rPr>
          <w:rFonts w:cs="Arial"/>
          <w:color w:val="000000"/>
          <w:sz w:val="18"/>
          <w:szCs w:val="18"/>
          <w:lang w:val="fr-CA"/>
        </w:rPr>
      </w:pPr>
      <w:r w:rsidRPr="00C8129E">
        <w:rPr>
          <w:rFonts w:cs="Arial"/>
          <w:color w:val="000000"/>
          <w:sz w:val="18"/>
          <w:szCs w:val="18"/>
          <w:lang w:val="fr-CA"/>
        </w:rPr>
        <w:t>Compétences en recherche et méthodologie d</w:t>
      </w:r>
      <w:r>
        <w:rPr>
          <w:rFonts w:cs="Arial"/>
          <w:color w:val="000000"/>
          <w:sz w:val="18"/>
          <w:szCs w:val="18"/>
          <w:lang w:val="fr-CA"/>
        </w:rPr>
        <w:t>’</w:t>
      </w:r>
      <w:r w:rsidRPr="00C8129E">
        <w:rPr>
          <w:rFonts w:cs="Arial"/>
          <w:color w:val="000000"/>
          <w:sz w:val="18"/>
          <w:szCs w:val="18"/>
          <w:lang w:val="fr-CA"/>
        </w:rPr>
        <w:t>analyse ainsi qu</w:t>
      </w:r>
      <w:r>
        <w:rPr>
          <w:rFonts w:cs="Arial"/>
          <w:color w:val="000000"/>
          <w:sz w:val="18"/>
          <w:szCs w:val="18"/>
          <w:lang w:val="fr-CA"/>
        </w:rPr>
        <w:t>’</w:t>
      </w:r>
      <w:r w:rsidRPr="00C8129E">
        <w:rPr>
          <w:rFonts w:cs="Arial"/>
          <w:color w:val="000000"/>
          <w:sz w:val="18"/>
          <w:szCs w:val="18"/>
          <w:lang w:val="fr-CA"/>
        </w:rPr>
        <w:t>une orientation solutions;</w:t>
      </w:r>
    </w:p>
    <w:p w14:paraId="5F31058C" w14:textId="77777777" w:rsidR="00DF5226" w:rsidRPr="00C8129E" w:rsidRDefault="00DF5226" w:rsidP="00DF5226">
      <w:pPr>
        <w:pStyle w:val="ListParagraph"/>
        <w:widowControl/>
        <w:numPr>
          <w:ilvl w:val="0"/>
          <w:numId w:val="11"/>
        </w:numPr>
        <w:suppressAutoHyphens w:val="0"/>
        <w:spacing w:after="160"/>
        <w:jc w:val="both"/>
        <w:rPr>
          <w:rFonts w:cs="Arial"/>
          <w:color w:val="000000"/>
          <w:sz w:val="18"/>
          <w:szCs w:val="18"/>
          <w:lang w:val="fr-CA"/>
        </w:rPr>
      </w:pPr>
      <w:r w:rsidRPr="00C8129E">
        <w:rPr>
          <w:rFonts w:cs="Arial"/>
          <w:color w:val="000000"/>
          <w:sz w:val="18"/>
          <w:szCs w:val="18"/>
          <w:lang w:val="fr-CA"/>
        </w:rPr>
        <w:t>Solides connaissances informatiques (MS Office, Suite Google et base de données);</w:t>
      </w:r>
    </w:p>
    <w:p w14:paraId="76AEBA73" w14:textId="77777777" w:rsidR="00DF5226" w:rsidRPr="00C8129E" w:rsidRDefault="00DF5226" w:rsidP="00DF5226">
      <w:pPr>
        <w:pStyle w:val="ListParagraph"/>
        <w:widowControl/>
        <w:numPr>
          <w:ilvl w:val="0"/>
          <w:numId w:val="11"/>
        </w:numPr>
        <w:suppressAutoHyphens w:val="0"/>
        <w:spacing w:after="160"/>
        <w:jc w:val="both"/>
        <w:rPr>
          <w:rFonts w:cs="Arial"/>
          <w:color w:val="000000"/>
          <w:sz w:val="18"/>
          <w:szCs w:val="18"/>
          <w:lang w:val="fr-CA"/>
        </w:rPr>
      </w:pPr>
      <w:r w:rsidRPr="00C8129E">
        <w:rPr>
          <w:rFonts w:cs="Arial"/>
          <w:color w:val="000000"/>
          <w:sz w:val="18"/>
          <w:szCs w:val="18"/>
          <w:lang w:val="fr-CA"/>
        </w:rPr>
        <w:t>Capacité de travailler dans un milieu qui encourage l</w:t>
      </w:r>
      <w:r>
        <w:rPr>
          <w:rFonts w:cs="Arial"/>
          <w:color w:val="000000"/>
          <w:sz w:val="18"/>
          <w:szCs w:val="18"/>
          <w:lang w:val="fr-CA"/>
        </w:rPr>
        <w:t>’</w:t>
      </w:r>
      <w:r w:rsidRPr="00C8129E">
        <w:rPr>
          <w:rFonts w:cs="Arial"/>
          <w:color w:val="000000"/>
          <w:sz w:val="18"/>
          <w:szCs w:val="18"/>
          <w:lang w:val="fr-CA"/>
        </w:rPr>
        <w:t xml:space="preserve">approche multitâche dans des délais serrés; </w:t>
      </w:r>
    </w:p>
    <w:p w14:paraId="2833D1E1" w14:textId="77777777" w:rsidR="00DF5226" w:rsidRPr="00C8129E" w:rsidRDefault="00DF5226" w:rsidP="00DF5226">
      <w:pPr>
        <w:pStyle w:val="ListParagraph"/>
        <w:widowControl/>
        <w:numPr>
          <w:ilvl w:val="0"/>
          <w:numId w:val="11"/>
        </w:numPr>
        <w:suppressAutoHyphens w:val="0"/>
        <w:spacing w:after="160"/>
        <w:jc w:val="both"/>
        <w:rPr>
          <w:rFonts w:cs="Arial"/>
          <w:color w:val="000000"/>
          <w:sz w:val="18"/>
          <w:szCs w:val="18"/>
          <w:lang w:val="fr-CA"/>
        </w:rPr>
      </w:pPr>
      <w:r w:rsidRPr="00C8129E">
        <w:rPr>
          <w:rFonts w:cs="Arial"/>
          <w:color w:val="000000"/>
          <w:sz w:val="18"/>
          <w:szCs w:val="18"/>
          <w:lang w:val="fr-CA"/>
        </w:rPr>
        <w:t>Compréhension de la confidentialité exigée dans ce poste;</w:t>
      </w:r>
    </w:p>
    <w:p w14:paraId="67076134" w14:textId="77777777" w:rsidR="00DF5226" w:rsidRPr="00C8129E" w:rsidRDefault="00DF5226" w:rsidP="00DF5226">
      <w:pPr>
        <w:pStyle w:val="ListParagraph"/>
        <w:widowControl/>
        <w:numPr>
          <w:ilvl w:val="0"/>
          <w:numId w:val="11"/>
        </w:numPr>
        <w:suppressAutoHyphens w:val="0"/>
        <w:spacing w:after="160"/>
        <w:jc w:val="both"/>
        <w:rPr>
          <w:rFonts w:cs="Arial"/>
          <w:color w:val="000000"/>
          <w:sz w:val="18"/>
          <w:szCs w:val="18"/>
          <w:lang w:val="fr-CA"/>
        </w:rPr>
      </w:pPr>
      <w:r w:rsidRPr="00C8129E">
        <w:rPr>
          <w:rFonts w:cs="Arial"/>
          <w:color w:val="000000"/>
          <w:sz w:val="18"/>
          <w:szCs w:val="18"/>
          <w:lang w:val="fr-CA"/>
        </w:rPr>
        <w:t>Expérience en préparation, rédaction, révision et présentation de textes et autres rapports, excellentes aptitudes rédactionnelles</w:t>
      </w:r>
      <w:r>
        <w:rPr>
          <w:rFonts w:cs="Arial"/>
          <w:color w:val="000000"/>
          <w:sz w:val="18"/>
          <w:szCs w:val="18"/>
          <w:lang w:val="fr-CA"/>
        </w:rPr>
        <w:t>;</w:t>
      </w:r>
    </w:p>
    <w:p w14:paraId="2128F823" w14:textId="77777777" w:rsidR="00DF5226" w:rsidRPr="00C8129E" w:rsidRDefault="00DF5226" w:rsidP="00DF5226">
      <w:pPr>
        <w:pStyle w:val="ListParagraph"/>
        <w:widowControl/>
        <w:numPr>
          <w:ilvl w:val="0"/>
          <w:numId w:val="11"/>
        </w:numPr>
        <w:suppressAutoHyphens w:val="0"/>
        <w:spacing w:after="160"/>
        <w:jc w:val="both"/>
        <w:rPr>
          <w:rFonts w:cs="Arial"/>
          <w:color w:val="000000"/>
          <w:sz w:val="18"/>
          <w:szCs w:val="18"/>
          <w:lang w:val="fr-CA"/>
        </w:rPr>
      </w:pPr>
      <w:r w:rsidRPr="00C8129E">
        <w:rPr>
          <w:rFonts w:cs="Arial"/>
          <w:color w:val="000000"/>
          <w:sz w:val="18"/>
          <w:szCs w:val="18"/>
          <w:lang w:val="fr-CA"/>
        </w:rPr>
        <w:t>Capacité d</w:t>
      </w:r>
      <w:r>
        <w:rPr>
          <w:rFonts w:cs="Arial"/>
          <w:color w:val="000000"/>
          <w:sz w:val="18"/>
          <w:szCs w:val="18"/>
          <w:lang w:val="fr-CA"/>
        </w:rPr>
        <w:t>’</w:t>
      </w:r>
      <w:r w:rsidRPr="00C8129E">
        <w:rPr>
          <w:rFonts w:cs="Arial"/>
          <w:color w:val="000000"/>
          <w:sz w:val="18"/>
          <w:szCs w:val="18"/>
          <w:lang w:val="fr-CA"/>
        </w:rPr>
        <w:t>établir les priorités journalières et à plus long terme, bonne gestion du temps;</w:t>
      </w:r>
      <w:r>
        <w:rPr>
          <w:rFonts w:cs="Arial"/>
          <w:color w:val="000000"/>
          <w:sz w:val="18"/>
          <w:szCs w:val="18"/>
          <w:lang w:val="fr-CA"/>
        </w:rPr>
        <w:t xml:space="preserve"> </w:t>
      </w:r>
    </w:p>
    <w:p w14:paraId="3BC40DF0" w14:textId="77777777" w:rsidR="00DF5226" w:rsidRPr="00C8129E" w:rsidRDefault="00DF5226" w:rsidP="00DF5226">
      <w:pPr>
        <w:pStyle w:val="ListParagraph"/>
        <w:widowControl/>
        <w:numPr>
          <w:ilvl w:val="0"/>
          <w:numId w:val="11"/>
        </w:numPr>
        <w:suppressAutoHyphens w:val="0"/>
        <w:spacing w:after="160"/>
        <w:jc w:val="both"/>
        <w:rPr>
          <w:rFonts w:cs="Arial"/>
          <w:color w:val="000000"/>
          <w:sz w:val="18"/>
          <w:szCs w:val="18"/>
          <w:lang w:val="fr-CA"/>
        </w:rPr>
      </w:pPr>
      <w:r w:rsidRPr="00C8129E">
        <w:rPr>
          <w:rFonts w:cs="Arial"/>
          <w:color w:val="000000"/>
          <w:sz w:val="18"/>
          <w:szCs w:val="18"/>
          <w:lang w:val="fr-CA"/>
        </w:rPr>
        <w:t>Très bon sens de l</w:t>
      </w:r>
      <w:r>
        <w:rPr>
          <w:rFonts w:cs="Arial"/>
          <w:color w:val="000000"/>
          <w:sz w:val="18"/>
          <w:szCs w:val="18"/>
          <w:lang w:val="fr-CA"/>
        </w:rPr>
        <w:t>’</w:t>
      </w:r>
      <w:r w:rsidRPr="00C8129E">
        <w:rPr>
          <w:rFonts w:cs="Arial"/>
          <w:color w:val="000000"/>
          <w:sz w:val="18"/>
          <w:szCs w:val="18"/>
          <w:lang w:val="fr-CA"/>
        </w:rPr>
        <w:t>organisation, de la négociation et compétences analytiques ;</w:t>
      </w:r>
    </w:p>
    <w:p w14:paraId="6B578501" w14:textId="77777777" w:rsidR="00DF5226" w:rsidRDefault="00DF5226" w:rsidP="00DF5226">
      <w:pPr>
        <w:pStyle w:val="ListParagraph"/>
        <w:widowControl/>
        <w:numPr>
          <w:ilvl w:val="0"/>
          <w:numId w:val="11"/>
        </w:numPr>
        <w:suppressAutoHyphens w:val="0"/>
        <w:spacing w:after="160"/>
        <w:jc w:val="both"/>
        <w:rPr>
          <w:rFonts w:cs="Arial"/>
          <w:color w:val="000000"/>
          <w:sz w:val="18"/>
          <w:szCs w:val="18"/>
          <w:lang w:val="fr-CA"/>
        </w:rPr>
      </w:pPr>
      <w:r w:rsidRPr="00C8129E">
        <w:rPr>
          <w:rFonts w:cs="Arial"/>
          <w:color w:val="000000"/>
          <w:sz w:val="18"/>
          <w:szCs w:val="18"/>
          <w:lang w:val="fr-CA"/>
        </w:rPr>
        <w:t>Attention aux détails;</w:t>
      </w:r>
    </w:p>
    <w:p w14:paraId="179668E2" w14:textId="77777777" w:rsidR="00DF5226" w:rsidRPr="00C8129E" w:rsidRDefault="00DF5226" w:rsidP="00DF5226">
      <w:pPr>
        <w:pStyle w:val="ListParagraph"/>
        <w:widowControl/>
        <w:numPr>
          <w:ilvl w:val="0"/>
          <w:numId w:val="11"/>
        </w:numPr>
        <w:suppressAutoHyphens w:val="0"/>
        <w:spacing w:after="160"/>
        <w:jc w:val="both"/>
        <w:rPr>
          <w:rFonts w:cs="Arial"/>
          <w:color w:val="000000"/>
          <w:sz w:val="18"/>
          <w:szCs w:val="18"/>
          <w:lang w:val="fr-CA"/>
        </w:rPr>
      </w:pPr>
      <w:r w:rsidRPr="005C75B7">
        <w:rPr>
          <w:rFonts w:cs="Arial"/>
          <w:color w:val="000000"/>
          <w:sz w:val="18"/>
          <w:szCs w:val="18"/>
          <w:lang w:val="fr-CA"/>
        </w:rPr>
        <w:t>Grande souplesse d’adaptation aux situations en constante évolution;</w:t>
      </w:r>
    </w:p>
    <w:p w14:paraId="004260C6" w14:textId="77777777" w:rsidR="00DF5226" w:rsidRDefault="00DF5226" w:rsidP="00DF5226">
      <w:pPr>
        <w:pStyle w:val="ListParagraph"/>
        <w:widowControl/>
        <w:numPr>
          <w:ilvl w:val="0"/>
          <w:numId w:val="11"/>
        </w:numPr>
        <w:suppressAutoHyphens w:val="0"/>
        <w:spacing w:after="160"/>
        <w:jc w:val="both"/>
        <w:rPr>
          <w:rFonts w:cs="Arial"/>
          <w:color w:val="000000"/>
          <w:sz w:val="18"/>
          <w:szCs w:val="18"/>
          <w:lang w:val="fr-CA"/>
        </w:rPr>
      </w:pPr>
      <w:r w:rsidRPr="00C8129E">
        <w:rPr>
          <w:rFonts w:cs="Arial"/>
          <w:color w:val="000000"/>
          <w:sz w:val="18"/>
          <w:szCs w:val="18"/>
          <w:lang w:val="fr-CA"/>
        </w:rPr>
        <w:t>Compétences interpersonnelles, tact et jugement dans les rapports avec les partenaires internes et externes.</w:t>
      </w:r>
    </w:p>
    <w:p w14:paraId="0D874807" w14:textId="77777777" w:rsidR="00DF5226" w:rsidRPr="006E2DF7" w:rsidRDefault="00DF5226" w:rsidP="00DF5226">
      <w:pPr>
        <w:tabs>
          <w:tab w:val="left" w:pos="1"/>
          <w:tab w:val="left" w:pos="2160"/>
          <w:tab w:val="left" w:pos="2880"/>
          <w:tab w:val="left" w:pos="3600"/>
          <w:tab w:val="left" w:pos="4320"/>
          <w:tab w:val="left" w:pos="5040"/>
          <w:tab w:val="left" w:pos="5760"/>
          <w:tab w:val="left" w:pos="6480"/>
          <w:tab w:val="left" w:pos="7200"/>
          <w:tab w:val="left" w:pos="7920"/>
        </w:tabs>
        <w:spacing w:before="240" w:after="120"/>
        <w:jc w:val="both"/>
        <w:rPr>
          <w:rFonts w:cs="Arial"/>
          <w:b/>
          <w:color w:val="00B0F0"/>
          <w:sz w:val="18"/>
          <w:lang w:val="fr-CA"/>
        </w:rPr>
      </w:pPr>
      <w:r w:rsidRPr="006E2DF7">
        <w:rPr>
          <w:rFonts w:cs="Arial"/>
          <w:b/>
          <w:color w:val="00B0F0"/>
          <w:sz w:val="18"/>
          <w:lang w:val="fr-CA"/>
        </w:rPr>
        <w:t>Éducation et expérience</w:t>
      </w:r>
    </w:p>
    <w:p w14:paraId="19E2DB96" w14:textId="77777777" w:rsidR="00DF5226" w:rsidRDefault="00DF5226" w:rsidP="00DF5226">
      <w:pPr>
        <w:pStyle w:val="ListParagraph"/>
        <w:widowControl/>
        <w:numPr>
          <w:ilvl w:val="0"/>
          <w:numId w:val="10"/>
        </w:numPr>
        <w:suppressAutoHyphens w:val="0"/>
        <w:spacing w:after="160"/>
        <w:jc w:val="both"/>
        <w:rPr>
          <w:rFonts w:cs="Arial"/>
          <w:color w:val="000000"/>
          <w:sz w:val="18"/>
          <w:szCs w:val="18"/>
          <w:lang w:val="fr-CA"/>
        </w:rPr>
      </w:pPr>
      <w:r>
        <w:rPr>
          <w:rFonts w:cs="Arial"/>
          <w:color w:val="000000"/>
          <w:sz w:val="18"/>
          <w:szCs w:val="18"/>
          <w:lang w:val="fr-CA"/>
        </w:rPr>
        <w:t>Minimum un baccalauréat en administration ou en gestion et affaires publiques</w:t>
      </w:r>
      <w:r w:rsidRPr="00C8129E">
        <w:rPr>
          <w:rFonts w:cs="Arial"/>
          <w:color w:val="000000"/>
          <w:sz w:val="18"/>
          <w:szCs w:val="18"/>
          <w:lang w:val="fr-CA"/>
        </w:rPr>
        <w:t>, ou équivalent</w:t>
      </w:r>
      <w:r>
        <w:rPr>
          <w:rFonts w:cs="Arial"/>
          <w:color w:val="000000"/>
          <w:sz w:val="18"/>
          <w:szCs w:val="18"/>
          <w:lang w:val="fr-CA"/>
        </w:rPr>
        <w:t xml:space="preserve">; </w:t>
      </w:r>
    </w:p>
    <w:p w14:paraId="2F0EBD53" w14:textId="77777777" w:rsidR="00DF5226" w:rsidRDefault="00DF5226" w:rsidP="00DF5226">
      <w:pPr>
        <w:pStyle w:val="ListParagraph"/>
        <w:widowControl/>
        <w:numPr>
          <w:ilvl w:val="0"/>
          <w:numId w:val="10"/>
        </w:numPr>
        <w:suppressAutoHyphens w:val="0"/>
        <w:spacing w:after="160"/>
        <w:jc w:val="both"/>
        <w:rPr>
          <w:rFonts w:cs="Arial"/>
          <w:color w:val="000000"/>
          <w:sz w:val="18"/>
          <w:szCs w:val="18"/>
          <w:lang w:val="fr-CA"/>
        </w:rPr>
      </w:pPr>
      <w:r w:rsidRPr="00C8129E">
        <w:rPr>
          <w:rFonts w:cs="Arial"/>
          <w:color w:val="000000"/>
          <w:sz w:val="18"/>
          <w:szCs w:val="18"/>
          <w:lang w:val="fr-CA"/>
        </w:rPr>
        <w:t>Expérience d</w:t>
      </w:r>
      <w:r>
        <w:rPr>
          <w:rFonts w:cs="Arial"/>
          <w:color w:val="000000"/>
          <w:sz w:val="18"/>
          <w:szCs w:val="18"/>
          <w:lang w:val="fr-CA"/>
        </w:rPr>
        <w:t>’</w:t>
      </w:r>
      <w:r w:rsidRPr="00C8129E">
        <w:rPr>
          <w:rFonts w:cs="Arial"/>
          <w:color w:val="000000"/>
          <w:sz w:val="18"/>
          <w:szCs w:val="18"/>
          <w:lang w:val="fr-CA"/>
        </w:rPr>
        <w:t>au moins 10 ans dans un poste similaire; préférablement en milieu francophone</w:t>
      </w:r>
      <w:r>
        <w:rPr>
          <w:rFonts w:cs="Arial"/>
          <w:color w:val="000000"/>
          <w:sz w:val="18"/>
          <w:szCs w:val="18"/>
          <w:lang w:val="fr-CA"/>
        </w:rPr>
        <w:t>;</w:t>
      </w:r>
    </w:p>
    <w:p w14:paraId="6381EF26" w14:textId="77777777" w:rsidR="00DF5226" w:rsidRPr="006E2DF7" w:rsidRDefault="00DF5226" w:rsidP="00DF5226">
      <w:pPr>
        <w:pStyle w:val="ListParagraph"/>
        <w:widowControl/>
        <w:numPr>
          <w:ilvl w:val="0"/>
          <w:numId w:val="10"/>
        </w:numPr>
        <w:suppressAutoHyphens w:val="0"/>
        <w:spacing w:after="160"/>
        <w:jc w:val="both"/>
        <w:rPr>
          <w:rFonts w:cs="Arial"/>
          <w:color w:val="000000"/>
          <w:sz w:val="18"/>
          <w:szCs w:val="18"/>
          <w:lang w:val="fr-CA"/>
        </w:rPr>
      </w:pPr>
      <w:r w:rsidRPr="005C75B7">
        <w:rPr>
          <w:rFonts w:cs="Arial"/>
          <w:color w:val="000000"/>
          <w:sz w:val="18"/>
          <w:szCs w:val="18"/>
          <w:lang w:val="fr-CA"/>
        </w:rPr>
        <w:t>Expérience dans l'établissement et le maintien de partenariats avec les parties prenantes afin d'obtenir des informations, d'analyser les défis et les solutions, et de générer un consensus.</w:t>
      </w:r>
    </w:p>
    <w:p w14:paraId="0AC07A98" w14:textId="77777777" w:rsidR="00DF5226" w:rsidRPr="006E2DF7" w:rsidRDefault="00DF5226" w:rsidP="00DF5226">
      <w:pPr>
        <w:tabs>
          <w:tab w:val="left" w:pos="1"/>
          <w:tab w:val="left" w:pos="2160"/>
          <w:tab w:val="left" w:pos="2880"/>
          <w:tab w:val="left" w:pos="3600"/>
          <w:tab w:val="left" w:pos="4320"/>
          <w:tab w:val="left" w:pos="5040"/>
          <w:tab w:val="left" w:pos="5760"/>
          <w:tab w:val="left" w:pos="6480"/>
          <w:tab w:val="left" w:pos="7200"/>
          <w:tab w:val="left" w:pos="7920"/>
        </w:tabs>
        <w:spacing w:before="240"/>
        <w:jc w:val="both"/>
        <w:rPr>
          <w:rFonts w:cs="Arial"/>
          <w:b/>
          <w:color w:val="00B0F0"/>
          <w:sz w:val="18"/>
          <w:lang w:val="fr-CA"/>
        </w:rPr>
      </w:pPr>
      <w:r w:rsidRPr="006E2DF7">
        <w:rPr>
          <w:rFonts w:cs="Arial"/>
          <w:b/>
          <w:color w:val="00B0F0"/>
          <w:sz w:val="18"/>
          <w:lang w:val="fr-CA"/>
        </w:rPr>
        <w:t>Exigences linguistiques</w:t>
      </w:r>
    </w:p>
    <w:p w14:paraId="152BE161" w14:textId="77777777" w:rsidR="00DF5226" w:rsidRPr="0018420A" w:rsidRDefault="00DF5226" w:rsidP="00DF5226">
      <w:pPr>
        <w:pStyle w:val="ListParagraph"/>
        <w:widowControl/>
        <w:numPr>
          <w:ilvl w:val="0"/>
          <w:numId w:val="9"/>
        </w:numPr>
        <w:suppressAutoHyphens w:val="0"/>
        <w:spacing w:before="120" w:after="160"/>
        <w:ind w:left="714" w:hanging="357"/>
        <w:jc w:val="both"/>
        <w:rPr>
          <w:i/>
          <w:iCs/>
          <w:sz w:val="18"/>
          <w:szCs w:val="18"/>
          <w:lang w:val="fr-CA"/>
        </w:rPr>
      </w:pPr>
      <w:r w:rsidRPr="0018420A">
        <w:rPr>
          <w:rFonts w:cs="Arial"/>
          <w:color w:val="000000"/>
          <w:sz w:val="18"/>
          <w:szCs w:val="18"/>
          <w:lang w:val="fr-CA"/>
        </w:rPr>
        <w:lastRenderedPageBreak/>
        <w:t xml:space="preserve">La capacité à communiquer parfaitement (à l’oral et à l’écrit) en français est essentielle. </w:t>
      </w:r>
      <w:bookmarkStart w:id="0" w:name="_Hlk63241270"/>
    </w:p>
    <w:bookmarkEnd w:id="0"/>
    <w:p w14:paraId="4F71F6A4" w14:textId="77777777" w:rsidR="00DF5226" w:rsidRDefault="00DF5226" w:rsidP="00DF5226">
      <w:pPr>
        <w:tabs>
          <w:tab w:val="left" w:pos="1"/>
          <w:tab w:val="left" w:pos="2160"/>
          <w:tab w:val="left" w:pos="2880"/>
          <w:tab w:val="left" w:pos="3600"/>
          <w:tab w:val="left" w:pos="4320"/>
          <w:tab w:val="left" w:pos="5040"/>
          <w:tab w:val="left" w:pos="5760"/>
          <w:tab w:val="left" w:pos="6480"/>
          <w:tab w:val="left" w:pos="7200"/>
          <w:tab w:val="left" w:pos="7920"/>
        </w:tabs>
        <w:spacing w:before="240" w:after="120"/>
        <w:jc w:val="both"/>
        <w:rPr>
          <w:rFonts w:cs="Arial"/>
          <w:b/>
          <w:color w:val="00B0F0"/>
          <w:sz w:val="18"/>
          <w:lang w:val="fr-CA"/>
        </w:rPr>
      </w:pPr>
      <w:r>
        <w:rPr>
          <w:rFonts w:cs="Arial"/>
          <w:b/>
          <w:color w:val="00B0F0"/>
          <w:sz w:val="18"/>
          <w:lang w:val="fr-CA"/>
        </w:rPr>
        <w:t>Atouts</w:t>
      </w:r>
    </w:p>
    <w:p w14:paraId="620FD874" w14:textId="77777777" w:rsidR="00DF5226" w:rsidRPr="00C8129E" w:rsidRDefault="00DF5226" w:rsidP="00DF5226">
      <w:pPr>
        <w:pStyle w:val="ListParagraph"/>
        <w:widowControl/>
        <w:numPr>
          <w:ilvl w:val="0"/>
          <w:numId w:val="10"/>
        </w:numPr>
        <w:suppressAutoHyphens w:val="0"/>
        <w:spacing w:after="160"/>
        <w:jc w:val="both"/>
        <w:rPr>
          <w:rFonts w:cs="Arial"/>
          <w:color w:val="000000"/>
          <w:sz w:val="18"/>
          <w:szCs w:val="18"/>
          <w:lang w:val="fr-CA"/>
        </w:rPr>
      </w:pPr>
      <w:r w:rsidRPr="00C8129E">
        <w:rPr>
          <w:rFonts w:cs="Arial"/>
          <w:color w:val="000000"/>
          <w:sz w:val="18"/>
          <w:szCs w:val="18"/>
          <w:lang w:val="fr-CA"/>
        </w:rPr>
        <w:t>Connaissance des règlements et directives des agences gouvernementales de l</w:t>
      </w:r>
      <w:r>
        <w:rPr>
          <w:rFonts w:cs="Arial"/>
          <w:color w:val="000000"/>
          <w:sz w:val="18"/>
          <w:szCs w:val="18"/>
          <w:lang w:val="fr-CA"/>
        </w:rPr>
        <w:t>’</w:t>
      </w:r>
      <w:r w:rsidRPr="00C8129E">
        <w:rPr>
          <w:rFonts w:cs="Arial"/>
          <w:color w:val="000000"/>
          <w:sz w:val="18"/>
          <w:szCs w:val="18"/>
          <w:lang w:val="fr-CA"/>
        </w:rPr>
        <w:t>Ontario;</w:t>
      </w:r>
    </w:p>
    <w:p w14:paraId="14EFC30B" w14:textId="77777777" w:rsidR="00DF5226" w:rsidRPr="00C8129E" w:rsidRDefault="00DF5226" w:rsidP="00DF5226">
      <w:pPr>
        <w:pStyle w:val="ListParagraph"/>
        <w:widowControl/>
        <w:numPr>
          <w:ilvl w:val="0"/>
          <w:numId w:val="10"/>
        </w:numPr>
        <w:suppressAutoHyphens w:val="0"/>
        <w:spacing w:after="160"/>
        <w:jc w:val="both"/>
        <w:rPr>
          <w:rFonts w:cs="Arial"/>
          <w:color w:val="000000"/>
          <w:sz w:val="18"/>
          <w:szCs w:val="18"/>
          <w:lang w:val="fr-CA"/>
        </w:rPr>
      </w:pPr>
      <w:r w:rsidRPr="00C8129E">
        <w:rPr>
          <w:rFonts w:cs="Arial"/>
          <w:color w:val="000000"/>
          <w:sz w:val="18"/>
          <w:szCs w:val="18"/>
          <w:lang w:val="fr-CA"/>
        </w:rPr>
        <w:t>Connaissance du milieu des médias;</w:t>
      </w:r>
    </w:p>
    <w:p w14:paraId="4D1A3BDC" w14:textId="77777777" w:rsidR="00DF5226" w:rsidRDefault="00DF5226" w:rsidP="00DF5226">
      <w:pPr>
        <w:pStyle w:val="ListParagraph"/>
        <w:widowControl/>
        <w:numPr>
          <w:ilvl w:val="0"/>
          <w:numId w:val="10"/>
        </w:numPr>
        <w:suppressAutoHyphens w:val="0"/>
        <w:spacing w:after="160"/>
        <w:jc w:val="both"/>
        <w:rPr>
          <w:rFonts w:cs="Arial"/>
          <w:color w:val="000000"/>
          <w:sz w:val="18"/>
          <w:szCs w:val="18"/>
          <w:lang w:val="fr-CA"/>
        </w:rPr>
      </w:pPr>
      <w:r w:rsidRPr="00C8129E">
        <w:rPr>
          <w:rFonts w:cs="Arial"/>
          <w:color w:val="000000"/>
          <w:sz w:val="18"/>
          <w:szCs w:val="18"/>
          <w:lang w:val="fr-CA"/>
        </w:rPr>
        <w:t>Maîtrise en gestion et affaires publiques, ou équivalent</w:t>
      </w:r>
      <w:r>
        <w:rPr>
          <w:rFonts w:cs="Arial"/>
          <w:color w:val="000000"/>
          <w:sz w:val="18"/>
          <w:szCs w:val="18"/>
          <w:lang w:val="fr-CA"/>
        </w:rPr>
        <w:t>;</w:t>
      </w:r>
    </w:p>
    <w:p w14:paraId="02774FFA" w14:textId="77777777" w:rsidR="00DF5226" w:rsidRPr="006E2DF7" w:rsidRDefault="00DF5226" w:rsidP="00DF5226">
      <w:pPr>
        <w:pStyle w:val="ListParagraph"/>
        <w:widowControl/>
        <w:numPr>
          <w:ilvl w:val="0"/>
          <w:numId w:val="10"/>
        </w:numPr>
        <w:suppressAutoHyphens w:val="0"/>
        <w:spacing w:before="120" w:after="160"/>
        <w:jc w:val="both"/>
        <w:rPr>
          <w:rFonts w:cs="Arial"/>
          <w:color w:val="000000"/>
          <w:sz w:val="18"/>
          <w:szCs w:val="18"/>
          <w:lang w:val="fr-CA"/>
        </w:rPr>
      </w:pPr>
      <w:r>
        <w:rPr>
          <w:rFonts w:cs="Arial"/>
          <w:color w:val="000000"/>
          <w:sz w:val="18"/>
          <w:szCs w:val="18"/>
          <w:lang w:val="fr-CA"/>
        </w:rPr>
        <w:t>Connaissance de l’</w:t>
      </w:r>
      <w:r w:rsidRPr="006E2DF7">
        <w:rPr>
          <w:rFonts w:cs="Arial"/>
          <w:color w:val="000000"/>
          <w:sz w:val="18"/>
          <w:szCs w:val="18"/>
          <w:lang w:val="fr-CA"/>
        </w:rPr>
        <w:t>anglais.</w:t>
      </w:r>
    </w:p>
    <w:p w14:paraId="1F7EB65D" w14:textId="14B11DA7" w:rsidR="001F0587" w:rsidRPr="008A6572" w:rsidRDefault="001F0587" w:rsidP="00803845">
      <w:pPr>
        <w:tabs>
          <w:tab w:val="left" w:pos="1"/>
          <w:tab w:val="left" w:pos="2160"/>
          <w:tab w:val="left" w:pos="2880"/>
          <w:tab w:val="left" w:pos="3600"/>
          <w:tab w:val="left" w:pos="4320"/>
          <w:tab w:val="left" w:pos="5040"/>
          <w:tab w:val="left" w:pos="5760"/>
          <w:tab w:val="left" w:pos="6480"/>
          <w:tab w:val="left" w:pos="7200"/>
          <w:tab w:val="left" w:pos="7920"/>
        </w:tabs>
        <w:spacing w:before="120"/>
        <w:jc w:val="both"/>
        <w:rPr>
          <w:sz w:val="18"/>
          <w:szCs w:val="18"/>
          <w:lang w:val="fr-CA"/>
        </w:rPr>
      </w:pPr>
      <w:r w:rsidRPr="008A6572">
        <w:rPr>
          <w:sz w:val="18"/>
          <w:szCs w:val="18"/>
          <w:lang w:val="fr-CA"/>
        </w:rPr>
        <w:t xml:space="preserve">Ce poste représente une occasion unique pour </w:t>
      </w:r>
      <w:proofErr w:type="spellStart"/>
      <w:r w:rsidRPr="008A6572">
        <w:rPr>
          <w:sz w:val="18"/>
          <w:szCs w:val="18"/>
          <w:lang w:val="fr-CA"/>
        </w:rPr>
        <w:t>un</w:t>
      </w:r>
      <w:r w:rsidR="005E3593" w:rsidRPr="008A6572">
        <w:rPr>
          <w:sz w:val="18"/>
          <w:szCs w:val="18"/>
          <w:lang w:val="fr-CA"/>
        </w:rPr>
        <w:t>·e</w:t>
      </w:r>
      <w:proofErr w:type="spellEnd"/>
      <w:r w:rsidR="005E3593" w:rsidRPr="008A6572">
        <w:rPr>
          <w:sz w:val="18"/>
          <w:szCs w:val="18"/>
          <w:lang w:val="fr-CA"/>
        </w:rPr>
        <w:t xml:space="preserve"> </w:t>
      </w:r>
      <w:proofErr w:type="spellStart"/>
      <w:r w:rsidR="005E3593" w:rsidRPr="008A6572">
        <w:rPr>
          <w:sz w:val="18"/>
          <w:szCs w:val="18"/>
          <w:lang w:val="fr-CA"/>
        </w:rPr>
        <w:t>professionnel·le</w:t>
      </w:r>
      <w:proofErr w:type="spellEnd"/>
      <w:r w:rsidR="005E3593" w:rsidRPr="008A6572">
        <w:rPr>
          <w:sz w:val="18"/>
          <w:szCs w:val="18"/>
          <w:lang w:val="fr-CA"/>
        </w:rPr>
        <w:t xml:space="preserve"> </w:t>
      </w:r>
      <w:proofErr w:type="spellStart"/>
      <w:r w:rsidRPr="008A6572">
        <w:rPr>
          <w:sz w:val="18"/>
          <w:szCs w:val="18"/>
          <w:lang w:val="fr-CA"/>
        </w:rPr>
        <w:t>passionné</w:t>
      </w:r>
      <w:r w:rsidR="005E3593" w:rsidRPr="008A6572">
        <w:rPr>
          <w:sz w:val="18"/>
          <w:szCs w:val="18"/>
          <w:lang w:val="fr-CA"/>
        </w:rPr>
        <w:t>·e</w:t>
      </w:r>
      <w:proofErr w:type="spellEnd"/>
      <w:r w:rsidRPr="008A6572">
        <w:rPr>
          <w:sz w:val="18"/>
          <w:szCs w:val="18"/>
          <w:lang w:val="fr-CA"/>
        </w:rPr>
        <w:t xml:space="preserve"> qui souhaite faire partie d</w:t>
      </w:r>
      <w:r w:rsidR="00A72625">
        <w:rPr>
          <w:sz w:val="18"/>
          <w:szCs w:val="18"/>
          <w:lang w:val="fr-CA"/>
        </w:rPr>
        <w:t>’</w:t>
      </w:r>
      <w:r w:rsidRPr="008A6572">
        <w:rPr>
          <w:sz w:val="18"/>
          <w:szCs w:val="18"/>
          <w:lang w:val="fr-CA"/>
        </w:rPr>
        <w:t xml:space="preserve">une équipe dynamique. Pour soumettre votre candidature, veuillez transmettre votre cv en français à </w:t>
      </w:r>
      <w:hyperlink r:id="rId8" w:history="1">
        <w:r w:rsidRPr="008A6572">
          <w:rPr>
            <w:rStyle w:val="Hyperlink"/>
            <w:sz w:val="18"/>
            <w:szCs w:val="18"/>
            <w:lang w:val="fr-CA"/>
          </w:rPr>
          <w:t>mgaudreault@boyden.com</w:t>
        </w:r>
      </w:hyperlink>
      <w:r w:rsidRPr="008A6572">
        <w:rPr>
          <w:sz w:val="18"/>
          <w:szCs w:val="18"/>
          <w:lang w:val="fr-CA"/>
        </w:rPr>
        <w:t xml:space="preserve"> en indiquant le titre du poste dans l</w:t>
      </w:r>
      <w:r w:rsidR="00A72625">
        <w:rPr>
          <w:sz w:val="18"/>
          <w:szCs w:val="18"/>
          <w:lang w:val="fr-CA"/>
        </w:rPr>
        <w:t>’</w:t>
      </w:r>
      <w:r w:rsidRPr="008A6572">
        <w:rPr>
          <w:sz w:val="18"/>
          <w:szCs w:val="18"/>
          <w:lang w:val="fr-CA"/>
        </w:rPr>
        <w:t>objet de votre courriel.</w:t>
      </w:r>
    </w:p>
    <w:p w14:paraId="7F2CC690" w14:textId="77777777" w:rsidR="00803845" w:rsidRPr="00803845" w:rsidRDefault="00803845" w:rsidP="00803845">
      <w:pPr>
        <w:spacing w:before="120"/>
        <w:jc w:val="both"/>
        <w:rPr>
          <w:i/>
          <w:iCs/>
          <w:sz w:val="18"/>
          <w:szCs w:val="18"/>
          <w:lang w:val="fr-CA"/>
        </w:rPr>
      </w:pPr>
      <w:r w:rsidRPr="00803845">
        <w:rPr>
          <w:i/>
          <w:iCs/>
          <w:sz w:val="18"/>
          <w:szCs w:val="18"/>
          <w:lang w:val="fr-CA"/>
        </w:rPr>
        <w:t>Des mesures d’adaptation pour les candidats en situation de handicap peuvent être prises sur demande.</w:t>
      </w:r>
    </w:p>
    <w:p w14:paraId="5E900927" w14:textId="73CA8669" w:rsidR="001F0587" w:rsidRPr="001F0587" w:rsidRDefault="00803845" w:rsidP="00803845">
      <w:pPr>
        <w:spacing w:before="120"/>
        <w:jc w:val="both"/>
        <w:rPr>
          <w:i/>
          <w:iCs/>
          <w:sz w:val="18"/>
          <w:szCs w:val="18"/>
          <w:lang w:val="fr-CA"/>
        </w:rPr>
      </w:pPr>
      <w:r w:rsidRPr="00803845">
        <w:rPr>
          <w:i/>
          <w:iCs/>
          <w:sz w:val="18"/>
          <w:szCs w:val="18"/>
          <w:lang w:val="fr-CA"/>
        </w:rPr>
        <w:t>Groupe Média TFO s'engage à refléter la diversité de la province à travers sa programmation et sa main-d'œuvre et encourage les candidatures des personnes appartenant à une multitude de cultures, de groupes ethnoculturels et linguistiques, d'orientations sexuelles, d'âges, ainsi que celles avec des habiletés différentes. Groupe Média TFO souscrit au principe de l’égalité d’accès à l’emploi et seules les personnes retenues pour une entrevue seront contactées.</w:t>
      </w:r>
    </w:p>
    <w:sectPr w:rsidR="001F0587" w:rsidRPr="001F0587">
      <w:headerReference w:type="default" r:id="rId9"/>
      <w:footerReference w:type="default" r:id="rId10"/>
      <w:headerReference w:type="first" r:id="rId11"/>
      <w:pgSz w:w="12240" w:h="15840"/>
      <w:pgMar w:top="2268" w:right="680" w:bottom="1418" w:left="3402" w:header="62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B794E" w14:textId="77777777" w:rsidR="002E3BB2" w:rsidRDefault="002E3BB2">
      <w:pPr>
        <w:spacing w:line="240" w:lineRule="auto"/>
      </w:pPr>
      <w:r>
        <w:separator/>
      </w:r>
    </w:p>
  </w:endnote>
  <w:endnote w:type="continuationSeparator" w:id="0">
    <w:p w14:paraId="4F2C178C" w14:textId="77777777" w:rsidR="002E3BB2" w:rsidRDefault="002E3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6637" w14:textId="77777777" w:rsidR="009250FE" w:rsidRDefault="00D62FA2">
    <w:pPr>
      <w:widowControl/>
      <w:pBdr>
        <w:top w:val="nil"/>
        <w:left w:val="nil"/>
        <w:bottom w:val="nil"/>
        <w:right w:val="nil"/>
        <w:between w:val="nil"/>
      </w:pBdr>
      <w:spacing w:line="240" w:lineRule="auto"/>
      <w:ind w:left="-2722"/>
      <w:rPr>
        <w:color w:val="009FE3"/>
        <w:sz w:val="24"/>
        <w:szCs w:val="24"/>
      </w:rPr>
    </w:pPr>
    <w:r>
      <w:rPr>
        <w:color w:val="009FE3"/>
        <w:sz w:val="24"/>
        <w:szCs w:val="24"/>
      </w:rPr>
      <w:fldChar w:fldCharType="begin"/>
    </w:r>
    <w:r>
      <w:rPr>
        <w:color w:val="009FE3"/>
        <w:sz w:val="24"/>
        <w:szCs w:val="24"/>
      </w:rPr>
      <w:instrText>PAGE</w:instrText>
    </w:r>
    <w:r>
      <w:rPr>
        <w:color w:val="009FE3"/>
        <w:sz w:val="24"/>
        <w:szCs w:val="24"/>
      </w:rPr>
      <w:fldChar w:fldCharType="separate"/>
    </w:r>
    <w:r w:rsidR="002B36B2">
      <w:rPr>
        <w:noProof/>
        <w:color w:val="009FE3"/>
        <w:sz w:val="24"/>
        <w:szCs w:val="24"/>
      </w:rPr>
      <w:t>1</w:t>
    </w:r>
    <w:r>
      <w:rPr>
        <w:color w:val="009FE3"/>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72B74" w14:textId="77777777" w:rsidR="002E3BB2" w:rsidRDefault="002E3BB2">
      <w:pPr>
        <w:spacing w:line="240" w:lineRule="auto"/>
      </w:pPr>
      <w:r>
        <w:separator/>
      </w:r>
    </w:p>
  </w:footnote>
  <w:footnote w:type="continuationSeparator" w:id="0">
    <w:p w14:paraId="2D81776B" w14:textId="77777777" w:rsidR="002E3BB2" w:rsidRDefault="002E3B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262A" w14:textId="77777777" w:rsidR="009250FE" w:rsidRDefault="009250FE">
    <w:pPr>
      <w:pBdr>
        <w:top w:val="nil"/>
        <w:left w:val="nil"/>
        <w:bottom w:val="nil"/>
        <w:right w:val="nil"/>
        <w:between w:val="nil"/>
      </w:pBdr>
      <w:spacing w:line="276" w:lineRule="auto"/>
      <w:rPr>
        <w:color w:val="009FE3"/>
        <w:sz w:val="22"/>
        <w:szCs w:val="22"/>
      </w:rPr>
    </w:pPr>
  </w:p>
  <w:tbl>
    <w:tblPr>
      <w:tblStyle w:val="a2"/>
      <w:tblW w:w="10916" w:type="dxa"/>
      <w:tblInd w:w="-2694" w:type="dxa"/>
      <w:tblBorders>
        <w:top w:val="nil"/>
        <w:left w:val="nil"/>
        <w:bottom w:val="nil"/>
        <w:right w:val="nil"/>
        <w:insideH w:val="nil"/>
        <w:insideV w:val="nil"/>
      </w:tblBorders>
      <w:tblLayout w:type="fixed"/>
      <w:tblLook w:val="0400" w:firstRow="0" w:lastRow="0" w:firstColumn="0" w:lastColumn="0" w:noHBand="0" w:noVBand="1"/>
    </w:tblPr>
    <w:tblGrid>
      <w:gridCol w:w="2694"/>
      <w:gridCol w:w="5812"/>
      <w:gridCol w:w="2410"/>
    </w:tblGrid>
    <w:tr w:rsidR="009250FE" w14:paraId="1C6908C9" w14:textId="77777777">
      <w:trPr>
        <w:trHeight w:val="977"/>
      </w:trPr>
      <w:tc>
        <w:tcPr>
          <w:tcW w:w="2694" w:type="dxa"/>
          <w:tcMar>
            <w:left w:w="0" w:type="dxa"/>
          </w:tcMar>
        </w:tcPr>
        <w:p w14:paraId="478FFB1D" w14:textId="77777777" w:rsidR="009250FE" w:rsidRDefault="00D62FA2">
          <w:pPr>
            <w:pBdr>
              <w:top w:val="nil"/>
              <w:left w:val="nil"/>
              <w:bottom w:val="nil"/>
              <w:right w:val="nil"/>
              <w:between w:val="nil"/>
            </w:pBdr>
            <w:spacing w:before="120" w:after="120" w:line="240" w:lineRule="auto"/>
            <w:rPr>
              <w:color w:val="000000"/>
              <w:sz w:val="18"/>
              <w:szCs w:val="18"/>
            </w:rPr>
          </w:pPr>
          <w:r>
            <w:rPr>
              <w:noProof/>
            </w:rPr>
            <w:drawing>
              <wp:anchor distT="0" distB="0" distL="114300" distR="114300" simplePos="0" relativeHeight="251658240" behindDoc="0" locked="0" layoutInCell="1" hidden="0" allowOverlap="1" wp14:anchorId="67F316BB" wp14:editId="73BBE616">
                <wp:simplePos x="0" y="0"/>
                <wp:positionH relativeFrom="column">
                  <wp:posOffset>3</wp:posOffset>
                </wp:positionH>
                <wp:positionV relativeFrom="paragraph">
                  <wp:posOffset>0</wp:posOffset>
                </wp:positionV>
                <wp:extent cx="1260000" cy="421200"/>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60000" cy="421200"/>
                        </a:xfrm>
                        <a:prstGeom prst="rect">
                          <a:avLst/>
                        </a:prstGeom>
                        <a:ln/>
                      </pic:spPr>
                    </pic:pic>
                  </a:graphicData>
                </a:graphic>
              </wp:anchor>
            </w:drawing>
          </w:r>
        </w:p>
      </w:tc>
      <w:tc>
        <w:tcPr>
          <w:tcW w:w="5812" w:type="dxa"/>
          <w:tcBorders>
            <w:top w:val="single" w:sz="6" w:space="0" w:color="009FE3"/>
            <w:bottom w:val="single" w:sz="6" w:space="0" w:color="009FE3"/>
          </w:tcBorders>
        </w:tcPr>
        <w:p w14:paraId="79A169EA" w14:textId="112ACBC2" w:rsidR="009250FE" w:rsidRDefault="008A27A7">
          <w:pPr>
            <w:widowControl/>
            <w:pBdr>
              <w:top w:val="nil"/>
              <w:left w:val="nil"/>
              <w:bottom w:val="nil"/>
              <w:right w:val="nil"/>
              <w:between w:val="nil"/>
            </w:pBdr>
            <w:spacing w:before="160" w:after="60" w:line="240" w:lineRule="auto"/>
            <w:ind w:left="-113"/>
            <w:rPr>
              <w:color w:val="009FE3"/>
              <w:sz w:val="48"/>
              <w:szCs w:val="48"/>
            </w:rPr>
          </w:pPr>
          <w:proofErr w:type="spellStart"/>
          <w:r>
            <w:rPr>
              <w:color w:val="009FE3"/>
              <w:sz w:val="48"/>
              <w:szCs w:val="48"/>
            </w:rPr>
            <w:t>Texte</w:t>
          </w:r>
          <w:proofErr w:type="spellEnd"/>
          <w:r>
            <w:rPr>
              <w:color w:val="009FE3"/>
              <w:sz w:val="48"/>
              <w:szCs w:val="48"/>
            </w:rPr>
            <w:t xml:space="preserve"> </w:t>
          </w:r>
          <w:proofErr w:type="spellStart"/>
          <w:r>
            <w:rPr>
              <w:color w:val="009FE3"/>
              <w:sz w:val="48"/>
              <w:szCs w:val="48"/>
            </w:rPr>
            <w:t>affichage</w:t>
          </w:r>
          <w:proofErr w:type="spellEnd"/>
        </w:p>
      </w:tc>
      <w:tc>
        <w:tcPr>
          <w:tcW w:w="2410" w:type="dxa"/>
          <w:tcBorders>
            <w:top w:val="single" w:sz="6" w:space="0" w:color="009FE3"/>
            <w:bottom w:val="single" w:sz="6" w:space="0" w:color="009FE3"/>
          </w:tcBorders>
        </w:tcPr>
        <w:p w14:paraId="406922CE" w14:textId="77777777" w:rsidR="009250FE" w:rsidRDefault="00D62FA2">
          <w:pPr>
            <w:pBdr>
              <w:top w:val="nil"/>
              <w:left w:val="nil"/>
              <w:bottom w:val="nil"/>
              <w:right w:val="nil"/>
              <w:between w:val="nil"/>
            </w:pBdr>
            <w:spacing w:before="420" w:line="259" w:lineRule="auto"/>
            <w:rPr>
              <w:color w:val="009FE3"/>
              <w:sz w:val="22"/>
              <w:szCs w:val="22"/>
            </w:rPr>
          </w:pPr>
          <w:r>
            <w:rPr>
              <w:color w:val="009FE3"/>
              <w:sz w:val="22"/>
              <w:szCs w:val="22"/>
            </w:rPr>
            <w:t>www.boyden.com</w:t>
          </w:r>
        </w:p>
      </w:tc>
    </w:tr>
  </w:tbl>
  <w:p w14:paraId="0482D998" w14:textId="77777777" w:rsidR="009250FE" w:rsidRDefault="009250FE">
    <w:pPr>
      <w:pBdr>
        <w:top w:val="nil"/>
        <w:left w:val="nil"/>
        <w:bottom w:val="nil"/>
        <w:right w:val="nil"/>
        <w:between w:val="nil"/>
      </w:pBdr>
      <w:spacing w:before="120" w:after="120" w:line="240" w:lineRule="auto"/>
      <w:rPr>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CB84" w14:textId="77777777" w:rsidR="009250FE" w:rsidRDefault="009250FE">
    <w:pPr>
      <w:pBdr>
        <w:top w:val="nil"/>
        <w:left w:val="nil"/>
        <w:bottom w:val="nil"/>
        <w:right w:val="nil"/>
        <w:between w:val="nil"/>
      </w:pBdr>
      <w:spacing w:line="276" w:lineRule="auto"/>
      <w:rPr>
        <w:i/>
        <w:sz w:val="18"/>
        <w:szCs w:val="18"/>
      </w:rPr>
    </w:pPr>
  </w:p>
  <w:tbl>
    <w:tblPr>
      <w:tblStyle w:val="a1"/>
      <w:tblW w:w="10490"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2066"/>
      <w:gridCol w:w="6506"/>
      <w:gridCol w:w="1918"/>
    </w:tblGrid>
    <w:tr w:rsidR="009250FE" w14:paraId="475CBC78" w14:textId="77777777">
      <w:tc>
        <w:tcPr>
          <w:tcW w:w="2066" w:type="dxa"/>
        </w:tcPr>
        <w:p w14:paraId="6A7056C0" w14:textId="77777777" w:rsidR="009250FE" w:rsidRDefault="00D62FA2">
          <w:pPr>
            <w:pBdr>
              <w:top w:val="nil"/>
              <w:left w:val="nil"/>
              <w:bottom w:val="nil"/>
              <w:right w:val="nil"/>
              <w:between w:val="nil"/>
            </w:pBdr>
            <w:spacing w:before="300" w:line="259" w:lineRule="auto"/>
            <w:rPr>
              <w:color w:val="009FE3"/>
              <w:sz w:val="22"/>
              <w:szCs w:val="22"/>
            </w:rPr>
          </w:pPr>
          <w:r>
            <w:rPr>
              <w:noProof/>
            </w:rPr>
            <w:drawing>
              <wp:anchor distT="0" distB="0" distL="114300" distR="114300" simplePos="0" relativeHeight="251659264" behindDoc="0" locked="0" layoutInCell="1" hidden="0" allowOverlap="1" wp14:anchorId="0A76D840" wp14:editId="0C52C547">
                <wp:simplePos x="0" y="0"/>
                <wp:positionH relativeFrom="column">
                  <wp:posOffset>2542</wp:posOffset>
                </wp:positionH>
                <wp:positionV relativeFrom="paragraph">
                  <wp:posOffset>0</wp:posOffset>
                </wp:positionV>
                <wp:extent cx="1220400" cy="40680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20400" cy="406800"/>
                        </a:xfrm>
                        <a:prstGeom prst="rect">
                          <a:avLst/>
                        </a:prstGeom>
                        <a:ln/>
                      </pic:spPr>
                    </pic:pic>
                  </a:graphicData>
                </a:graphic>
              </wp:anchor>
            </w:drawing>
          </w:r>
        </w:p>
      </w:tc>
      <w:tc>
        <w:tcPr>
          <w:tcW w:w="6506" w:type="dxa"/>
          <w:tcBorders>
            <w:top w:val="single" w:sz="6" w:space="0" w:color="009FE3"/>
            <w:bottom w:val="single" w:sz="6" w:space="0" w:color="009FE3"/>
          </w:tcBorders>
        </w:tcPr>
        <w:p w14:paraId="72BCEEBF" w14:textId="77777777" w:rsidR="009250FE" w:rsidRDefault="00D62FA2">
          <w:pPr>
            <w:widowControl/>
            <w:pBdr>
              <w:top w:val="nil"/>
              <w:left w:val="nil"/>
              <w:bottom w:val="nil"/>
              <w:right w:val="nil"/>
              <w:between w:val="nil"/>
            </w:pBdr>
            <w:spacing w:before="60" w:after="60" w:line="240" w:lineRule="auto"/>
            <w:ind w:left="-113"/>
            <w:rPr>
              <w:color w:val="009FE3"/>
              <w:sz w:val="48"/>
              <w:szCs w:val="48"/>
            </w:rPr>
          </w:pPr>
          <w:r>
            <w:rPr>
              <w:color w:val="009FE3"/>
              <w:sz w:val="48"/>
              <w:szCs w:val="48"/>
            </w:rPr>
            <w:t>Confidential</w:t>
          </w:r>
          <w:r>
            <w:rPr>
              <w:color w:val="009FE3"/>
              <w:sz w:val="48"/>
              <w:szCs w:val="48"/>
            </w:rPr>
            <w:br/>
            <w:t>Candidate Report</w:t>
          </w:r>
        </w:p>
      </w:tc>
      <w:tc>
        <w:tcPr>
          <w:tcW w:w="1918" w:type="dxa"/>
          <w:tcBorders>
            <w:top w:val="single" w:sz="6" w:space="0" w:color="009FE3"/>
            <w:bottom w:val="single" w:sz="6" w:space="0" w:color="009FE3"/>
          </w:tcBorders>
        </w:tcPr>
        <w:p w14:paraId="551FFDE9" w14:textId="77777777" w:rsidR="009250FE" w:rsidRDefault="00D62FA2">
          <w:r>
            <w:t>www.boyden.com</w:t>
          </w:r>
        </w:p>
      </w:tc>
    </w:tr>
  </w:tbl>
  <w:p w14:paraId="4BB725DA" w14:textId="77777777" w:rsidR="009250FE" w:rsidRDefault="009250FE">
    <w:pPr>
      <w:pBdr>
        <w:top w:val="nil"/>
        <w:left w:val="nil"/>
        <w:bottom w:val="nil"/>
        <w:right w:val="nil"/>
        <w:between w:val="nil"/>
      </w:pBdr>
      <w:spacing w:before="300" w:line="259" w:lineRule="auto"/>
      <w:rPr>
        <w:color w:val="009FE3"/>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4B26"/>
    <w:multiLevelType w:val="hybridMultilevel"/>
    <w:tmpl w:val="ADBC712A"/>
    <w:lvl w:ilvl="0" w:tplc="3C005D64">
      <w:start w:val="1"/>
      <w:numFmt w:val="bullet"/>
      <w:lvlText w:val=""/>
      <w:lvlJc w:val="left"/>
      <w:pPr>
        <w:ind w:left="720" w:hanging="360"/>
      </w:pPr>
      <w:rPr>
        <w:rFonts w:ascii="Symbol" w:hAnsi="Symbol" w:hint="default"/>
        <w:color w:val="00B0F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996241"/>
    <w:multiLevelType w:val="hybridMultilevel"/>
    <w:tmpl w:val="6142827C"/>
    <w:lvl w:ilvl="0" w:tplc="3C005D64">
      <w:start w:val="1"/>
      <w:numFmt w:val="bullet"/>
      <w:lvlText w:val=""/>
      <w:lvlJc w:val="left"/>
      <w:pPr>
        <w:ind w:left="720" w:hanging="360"/>
      </w:pPr>
      <w:rPr>
        <w:rFonts w:ascii="Symbol" w:hAnsi="Symbol" w:hint="default"/>
        <w:color w:val="00B0F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973E4E"/>
    <w:multiLevelType w:val="hybridMultilevel"/>
    <w:tmpl w:val="CAEC7AA6"/>
    <w:lvl w:ilvl="0" w:tplc="3C005D64">
      <w:start w:val="1"/>
      <w:numFmt w:val="bullet"/>
      <w:lvlText w:val=""/>
      <w:lvlJc w:val="left"/>
      <w:pPr>
        <w:ind w:left="733" w:hanging="360"/>
      </w:pPr>
      <w:rPr>
        <w:rFonts w:ascii="Symbol" w:hAnsi="Symbol" w:hint="default"/>
        <w:color w:val="00B0F0"/>
      </w:rPr>
    </w:lvl>
    <w:lvl w:ilvl="1" w:tplc="10090003" w:tentative="1">
      <w:start w:val="1"/>
      <w:numFmt w:val="bullet"/>
      <w:lvlText w:val="o"/>
      <w:lvlJc w:val="left"/>
      <w:pPr>
        <w:ind w:left="1453" w:hanging="360"/>
      </w:pPr>
      <w:rPr>
        <w:rFonts w:ascii="Courier New" w:hAnsi="Courier New" w:cs="Courier New" w:hint="default"/>
      </w:rPr>
    </w:lvl>
    <w:lvl w:ilvl="2" w:tplc="10090005" w:tentative="1">
      <w:start w:val="1"/>
      <w:numFmt w:val="bullet"/>
      <w:lvlText w:val=""/>
      <w:lvlJc w:val="left"/>
      <w:pPr>
        <w:ind w:left="2173" w:hanging="360"/>
      </w:pPr>
      <w:rPr>
        <w:rFonts w:ascii="Wingdings" w:hAnsi="Wingdings" w:hint="default"/>
      </w:rPr>
    </w:lvl>
    <w:lvl w:ilvl="3" w:tplc="10090001" w:tentative="1">
      <w:start w:val="1"/>
      <w:numFmt w:val="bullet"/>
      <w:lvlText w:val=""/>
      <w:lvlJc w:val="left"/>
      <w:pPr>
        <w:ind w:left="2893" w:hanging="360"/>
      </w:pPr>
      <w:rPr>
        <w:rFonts w:ascii="Symbol" w:hAnsi="Symbol" w:hint="default"/>
      </w:rPr>
    </w:lvl>
    <w:lvl w:ilvl="4" w:tplc="10090003" w:tentative="1">
      <w:start w:val="1"/>
      <w:numFmt w:val="bullet"/>
      <w:lvlText w:val="o"/>
      <w:lvlJc w:val="left"/>
      <w:pPr>
        <w:ind w:left="3613" w:hanging="360"/>
      </w:pPr>
      <w:rPr>
        <w:rFonts w:ascii="Courier New" w:hAnsi="Courier New" w:cs="Courier New" w:hint="default"/>
      </w:rPr>
    </w:lvl>
    <w:lvl w:ilvl="5" w:tplc="10090005" w:tentative="1">
      <w:start w:val="1"/>
      <w:numFmt w:val="bullet"/>
      <w:lvlText w:val=""/>
      <w:lvlJc w:val="left"/>
      <w:pPr>
        <w:ind w:left="4333" w:hanging="360"/>
      </w:pPr>
      <w:rPr>
        <w:rFonts w:ascii="Wingdings" w:hAnsi="Wingdings" w:hint="default"/>
      </w:rPr>
    </w:lvl>
    <w:lvl w:ilvl="6" w:tplc="10090001" w:tentative="1">
      <w:start w:val="1"/>
      <w:numFmt w:val="bullet"/>
      <w:lvlText w:val=""/>
      <w:lvlJc w:val="left"/>
      <w:pPr>
        <w:ind w:left="5053" w:hanging="360"/>
      </w:pPr>
      <w:rPr>
        <w:rFonts w:ascii="Symbol" w:hAnsi="Symbol" w:hint="default"/>
      </w:rPr>
    </w:lvl>
    <w:lvl w:ilvl="7" w:tplc="10090003" w:tentative="1">
      <w:start w:val="1"/>
      <w:numFmt w:val="bullet"/>
      <w:lvlText w:val="o"/>
      <w:lvlJc w:val="left"/>
      <w:pPr>
        <w:ind w:left="5773" w:hanging="360"/>
      </w:pPr>
      <w:rPr>
        <w:rFonts w:ascii="Courier New" w:hAnsi="Courier New" w:cs="Courier New" w:hint="default"/>
      </w:rPr>
    </w:lvl>
    <w:lvl w:ilvl="8" w:tplc="10090005" w:tentative="1">
      <w:start w:val="1"/>
      <w:numFmt w:val="bullet"/>
      <w:lvlText w:val=""/>
      <w:lvlJc w:val="left"/>
      <w:pPr>
        <w:ind w:left="6493" w:hanging="360"/>
      </w:pPr>
      <w:rPr>
        <w:rFonts w:ascii="Wingdings" w:hAnsi="Wingdings" w:hint="default"/>
      </w:rPr>
    </w:lvl>
  </w:abstractNum>
  <w:abstractNum w:abstractNumId="3" w15:restartNumberingAfterBreak="0">
    <w:nsid w:val="1F3B4DDB"/>
    <w:multiLevelType w:val="hybridMultilevel"/>
    <w:tmpl w:val="30B2A6C8"/>
    <w:lvl w:ilvl="0" w:tplc="3C005D64">
      <w:start w:val="1"/>
      <w:numFmt w:val="bullet"/>
      <w:lvlText w:val=""/>
      <w:lvlJc w:val="left"/>
      <w:pPr>
        <w:ind w:left="720" w:hanging="360"/>
      </w:pPr>
      <w:rPr>
        <w:rFonts w:ascii="Symbol" w:hAnsi="Symbol" w:hint="default"/>
        <w:color w:val="00B0F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BD54CA"/>
    <w:multiLevelType w:val="hybridMultilevel"/>
    <w:tmpl w:val="2294CFC0"/>
    <w:lvl w:ilvl="0" w:tplc="3C005D64">
      <w:start w:val="1"/>
      <w:numFmt w:val="bullet"/>
      <w:lvlText w:val=""/>
      <w:lvlJc w:val="left"/>
      <w:pPr>
        <w:ind w:left="733" w:hanging="360"/>
      </w:pPr>
      <w:rPr>
        <w:rFonts w:ascii="Symbol" w:hAnsi="Symbol" w:hint="default"/>
        <w:color w:val="00B0F0"/>
      </w:rPr>
    </w:lvl>
    <w:lvl w:ilvl="1" w:tplc="10090003">
      <w:start w:val="1"/>
      <w:numFmt w:val="bullet"/>
      <w:lvlText w:val="o"/>
      <w:lvlJc w:val="left"/>
      <w:pPr>
        <w:ind w:left="1453" w:hanging="360"/>
      </w:pPr>
      <w:rPr>
        <w:rFonts w:ascii="Courier New" w:hAnsi="Courier New" w:cs="Courier New" w:hint="default"/>
      </w:rPr>
    </w:lvl>
    <w:lvl w:ilvl="2" w:tplc="10090005" w:tentative="1">
      <w:start w:val="1"/>
      <w:numFmt w:val="bullet"/>
      <w:lvlText w:val=""/>
      <w:lvlJc w:val="left"/>
      <w:pPr>
        <w:ind w:left="2173" w:hanging="360"/>
      </w:pPr>
      <w:rPr>
        <w:rFonts w:ascii="Wingdings" w:hAnsi="Wingdings" w:hint="default"/>
      </w:rPr>
    </w:lvl>
    <w:lvl w:ilvl="3" w:tplc="10090001" w:tentative="1">
      <w:start w:val="1"/>
      <w:numFmt w:val="bullet"/>
      <w:lvlText w:val=""/>
      <w:lvlJc w:val="left"/>
      <w:pPr>
        <w:ind w:left="2893" w:hanging="360"/>
      </w:pPr>
      <w:rPr>
        <w:rFonts w:ascii="Symbol" w:hAnsi="Symbol" w:hint="default"/>
      </w:rPr>
    </w:lvl>
    <w:lvl w:ilvl="4" w:tplc="10090003" w:tentative="1">
      <w:start w:val="1"/>
      <w:numFmt w:val="bullet"/>
      <w:lvlText w:val="o"/>
      <w:lvlJc w:val="left"/>
      <w:pPr>
        <w:ind w:left="3613" w:hanging="360"/>
      </w:pPr>
      <w:rPr>
        <w:rFonts w:ascii="Courier New" w:hAnsi="Courier New" w:cs="Courier New" w:hint="default"/>
      </w:rPr>
    </w:lvl>
    <w:lvl w:ilvl="5" w:tplc="10090005" w:tentative="1">
      <w:start w:val="1"/>
      <w:numFmt w:val="bullet"/>
      <w:lvlText w:val=""/>
      <w:lvlJc w:val="left"/>
      <w:pPr>
        <w:ind w:left="4333" w:hanging="360"/>
      </w:pPr>
      <w:rPr>
        <w:rFonts w:ascii="Wingdings" w:hAnsi="Wingdings" w:hint="default"/>
      </w:rPr>
    </w:lvl>
    <w:lvl w:ilvl="6" w:tplc="10090001" w:tentative="1">
      <w:start w:val="1"/>
      <w:numFmt w:val="bullet"/>
      <w:lvlText w:val=""/>
      <w:lvlJc w:val="left"/>
      <w:pPr>
        <w:ind w:left="5053" w:hanging="360"/>
      </w:pPr>
      <w:rPr>
        <w:rFonts w:ascii="Symbol" w:hAnsi="Symbol" w:hint="default"/>
      </w:rPr>
    </w:lvl>
    <w:lvl w:ilvl="7" w:tplc="10090003" w:tentative="1">
      <w:start w:val="1"/>
      <w:numFmt w:val="bullet"/>
      <w:lvlText w:val="o"/>
      <w:lvlJc w:val="left"/>
      <w:pPr>
        <w:ind w:left="5773" w:hanging="360"/>
      </w:pPr>
      <w:rPr>
        <w:rFonts w:ascii="Courier New" w:hAnsi="Courier New" w:cs="Courier New" w:hint="default"/>
      </w:rPr>
    </w:lvl>
    <w:lvl w:ilvl="8" w:tplc="10090005" w:tentative="1">
      <w:start w:val="1"/>
      <w:numFmt w:val="bullet"/>
      <w:lvlText w:val=""/>
      <w:lvlJc w:val="left"/>
      <w:pPr>
        <w:ind w:left="6493" w:hanging="360"/>
      </w:pPr>
      <w:rPr>
        <w:rFonts w:ascii="Wingdings" w:hAnsi="Wingdings" w:hint="default"/>
      </w:rPr>
    </w:lvl>
  </w:abstractNum>
  <w:abstractNum w:abstractNumId="5" w15:restartNumberingAfterBreak="0">
    <w:nsid w:val="2F980FF3"/>
    <w:multiLevelType w:val="hybridMultilevel"/>
    <w:tmpl w:val="31EA6840"/>
    <w:lvl w:ilvl="0" w:tplc="3C005D64">
      <w:start w:val="1"/>
      <w:numFmt w:val="bullet"/>
      <w:lvlText w:val=""/>
      <w:lvlJc w:val="left"/>
      <w:pPr>
        <w:ind w:left="720" w:hanging="360"/>
      </w:pPr>
      <w:rPr>
        <w:rFonts w:ascii="Symbol" w:hAnsi="Symbol" w:hint="default"/>
        <w:color w:val="00B0F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658096D"/>
    <w:multiLevelType w:val="hybridMultilevel"/>
    <w:tmpl w:val="8D8A726A"/>
    <w:lvl w:ilvl="0" w:tplc="3C005D64">
      <w:start w:val="1"/>
      <w:numFmt w:val="bullet"/>
      <w:lvlText w:val=""/>
      <w:lvlJc w:val="left"/>
      <w:pPr>
        <w:ind w:left="720" w:hanging="360"/>
      </w:pPr>
      <w:rPr>
        <w:rFonts w:ascii="Symbol" w:hAnsi="Symbol" w:hint="default"/>
        <w:color w:val="00B0F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84A232E"/>
    <w:multiLevelType w:val="hybridMultilevel"/>
    <w:tmpl w:val="9FBEC8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0ED763F"/>
    <w:multiLevelType w:val="multilevel"/>
    <w:tmpl w:val="4670C132"/>
    <w:lvl w:ilvl="0">
      <w:start w:val="1"/>
      <w:numFmt w:val="decimal"/>
      <w:pStyle w:val="Boyden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5881570"/>
    <w:multiLevelType w:val="hybridMultilevel"/>
    <w:tmpl w:val="1ABE598C"/>
    <w:lvl w:ilvl="0" w:tplc="3C005D64">
      <w:start w:val="1"/>
      <w:numFmt w:val="bullet"/>
      <w:lvlText w:val=""/>
      <w:lvlJc w:val="left"/>
      <w:pPr>
        <w:ind w:left="720" w:hanging="360"/>
      </w:pPr>
      <w:rPr>
        <w:rFonts w:ascii="Symbol" w:hAnsi="Symbol" w:hint="default"/>
        <w:color w:val="00B0F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F872AFE"/>
    <w:multiLevelType w:val="hybridMultilevel"/>
    <w:tmpl w:val="D554BA3C"/>
    <w:lvl w:ilvl="0" w:tplc="3B5C986E">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2"/>
  </w:num>
  <w:num w:numId="5">
    <w:abstractNumId w:val="6"/>
  </w:num>
  <w:num w:numId="6">
    <w:abstractNumId w:val="3"/>
  </w:num>
  <w:num w:numId="7">
    <w:abstractNumId w:val="7"/>
  </w:num>
  <w:num w:numId="8">
    <w:abstractNumId w:val="9"/>
  </w:num>
  <w:num w:numId="9">
    <w:abstractNumId w:val="10"/>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0FE"/>
    <w:rsid w:val="00015B3D"/>
    <w:rsid w:val="000333A2"/>
    <w:rsid w:val="00034E27"/>
    <w:rsid w:val="00044115"/>
    <w:rsid w:val="0009594A"/>
    <w:rsid w:val="000D1FB5"/>
    <w:rsid w:val="00100040"/>
    <w:rsid w:val="001409D6"/>
    <w:rsid w:val="001677D3"/>
    <w:rsid w:val="001D4113"/>
    <w:rsid w:val="001F0587"/>
    <w:rsid w:val="00235A81"/>
    <w:rsid w:val="002B1441"/>
    <w:rsid w:val="002B36B2"/>
    <w:rsid w:val="002E3BB2"/>
    <w:rsid w:val="002E557C"/>
    <w:rsid w:val="002F2600"/>
    <w:rsid w:val="00300113"/>
    <w:rsid w:val="00304DAF"/>
    <w:rsid w:val="0032501A"/>
    <w:rsid w:val="00337402"/>
    <w:rsid w:val="003A3D4C"/>
    <w:rsid w:val="003B6D0E"/>
    <w:rsid w:val="003D51A2"/>
    <w:rsid w:val="00422346"/>
    <w:rsid w:val="00460D3C"/>
    <w:rsid w:val="00467792"/>
    <w:rsid w:val="0049569C"/>
    <w:rsid w:val="004D54B2"/>
    <w:rsid w:val="004E11FE"/>
    <w:rsid w:val="00500E3D"/>
    <w:rsid w:val="00500F65"/>
    <w:rsid w:val="005031C9"/>
    <w:rsid w:val="005303CF"/>
    <w:rsid w:val="00543134"/>
    <w:rsid w:val="005745F6"/>
    <w:rsid w:val="005A360F"/>
    <w:rsid w:val="005B7B8D"/>
    <w:rsid w:val="005C6391"/>
    <w:rsid w:val="005E3593"/>
    <w:rsid w:val="00642768"/>
    <w:rsid w:val="006E2035"/>
    <w:rsid w:val="00721C6C"/>
    <w:rsid w:val="00770CA2"/>
    <w:rsid w:val="007A7240"/>
    <w:rsid w:val="007C4819"/>
    <w:rsid w:val="007C709C"/>
    <w:rsid w:val="00803845"/>
    <w:rsid w:val="008062D7"/>
    <w:rsid w:val="008369E7"/>
    <w:rsid w:val="0085242C"/>
    <w:rsid w:val="00862B23"/>
    <w:rsid w:val="008A27A7"/>
    <w:rsid w:val="008A3659"/>
    <w:rsid w:val="008A6572"/>
    <w:rsid w:val="008D11AA"/>
    <w:rsid w:val="008E016D"/>
    <w:rsid w:val="008F4320"/>
    <w:rsid w:val="00923B53"/>
    <w:rsid w:val="009250FE"/>
    <w:rsid w:val="0098726C"/>
    <w:rsid w:val="009A0E7F"/>
    <w:rsid w:val="009B59DC"/>
    <w:rsid w:val="00A1345A"/>
    <w:rsid w:val="00A335E8"/>
    <w:rsid w:val="00A409FE"/>
    <w:rsid w:val="00A52211"/>
    <w:rsid w:val="00A619C3"/>
    <w:rsid w:val="00A72625"/>
    <w:rsid w:val="00A9274F"/>
    <w:rsid w:val="00A93B3A"/>
    <w:rsid w:val="00AC02C8"/>
    <w:rsid w:val="00AC395E"/>
    <w:rsid w:val="00AF417A"/>
    <w:rsid w:val="00B170F5"/>
    <w:rsid w:val="00B57A58"/>
    <w:rsid w:val="00B62C3F"/>
    <w:rsid w:val="00B6605F"/>
    <w:rsid w:val="00BE5263"/>
    <w:rsid w:val="00C12AD9"/>
    <w:rsid w:val="00C43F4E"/>
    <w:rsid w:val="00CD2186"/>
    <w:rsid w:val="00CD7FCF"/>
    <w:rsid w:val="00D10793"/>
    <w:rsid w:val="00D16EBE"/>
    <w:rsid w:val="00D27F43"/>
    <w:rsid w:val="00D62FA2"/>
    <w:rsid w:val="00D64440"/>
    <w:rsid w:val="00D73F98"/>
    <w:rsid w:val="00DA6A49"/>
    <w:rsid w:val="00DC29CA"/>
    <w:rsid w:val="00DD6108"/>
    <w:rsid w:val="00DF4436"/>
    <w:rsid w:val="00DF5226"/>
    <w:rsid w:val="00E06D85"/>
    <w:rsid w:val="00E2040F"/>
    <w:rsid w:val="00E31CF4"/>
    <w:rsid w:val="00E65CAB"/>
    <w:rsid w:val="00E76EC1"/>
    <w:rsid w:val="00EC425C"/>
    <w:rsid w:val="00EE5FD7"/>
    <w:rsid w:val="00EF1E64"/>
    <w:rsid w:val="00F234F4"/>
    <w:rsid w:val="00F40FF9"/>
    <w:rsid w:val="00F4537B"/>
    <w:rsid w:val="00F60BF7"/>
    <w:rsid w:val="00F84626"/>
    <w:rsid w:val="00FB7B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D332"/>
  <w15:docId w15:val="{3CD842F2-41BD-481C-83C7-FA28C3BB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19"/>
        <w:szCs w:val="19"/>
        <w:lang w:val="en-GB" w:eastAsia="en-CA" w:bidi="ar-SA"/>
      </w:rPr>
    </w:rPrDefault>
    <w:pPrDefault>
      <w:pPr>
        <w:widowControl w:val="0"/>
        <w:spacing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19"/>
    <w:pPr>
      <w:suppressAutoHyphens/>
      <w:spacing w:line="260" w:lineRule="exact"/>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oydenBodyText">
    <w:name w:val="Boyden_Body Text"/>
    <w:uiPriority w:val="1"/>
    <w:qFormat/>
    <w:rsid w:val="00096B99"/>
    <w:pPr>
      <w:suppressAutoHyphens/>
      <w:spacing w:before="120" w:after="120" w:line="240" w:lineRule="auto"/>
    </w:pPr>
    <w:rPr>
      <w:sz w:val="18"/>
    </w:rPr>
  </w:style>
  <w:style w:type="paragraph" w:customStyle="1" w:styleId="BoydenLegalStatement">
    <w:name w:val="Boyden_Legal Statement"/>
    <w:next w:val="BoydenBodyText"/>
    <w:uiPriority w:val="5"/>
    <w:qFormat/>
    <w:rsid w:val="00096B99"/>
    <w:pPr>
      <w:pBdr>
        <w:top w:val="single" w:sz="12" w:space="3" w:color="009FE3"/>
      </w:pBdr>
      <w:suppressAutoHyphens/>
      <w:spacing w:line="240" w:lineRule="auto"/>
    </w:pPr>
    <w:rPr>
      <w:sz w:val="18"/>
    </w:rPr>
  </w:style>
  <w:style w:type="paragraph" w:customStyle="1" w:styleId="BoydenHeader2">
    <w:name w:val="Boyden_Header 2"/>
    <w:next w:val="BoydenBodyText"/>
    <w:uiPriority w:val="7"/>
    <w:qFormat/>
    <w:rsid w:val="00391E6D"/>
    <w:pPr>
      <w:suppressAutoHyphens/>
      <w:spacing w:before="300" w:line="220" w:lineRule="atLeast"/>
    </w:pPr>
    <w:rPr>
      <w:color w:val="009FE3"/>
    </w:rPr>
  </w:style>
  <w:style w:type="paragraph" w:customStyle="1" w:styleId="BoydenFooter">
    <w:name w:val="Boyden_Footer"/>
    <w:uiPriority w:val="6"/>
    <w:qFormat/>
    <w:rsid w:val="00395DD4"/>
    <w:pPr>
      <w:spacing w:line="240" w:lineRule="auto"/>
      <w:ind w:left="-2098"/>
    </w:pPr>
    <w:rPr>
      <w:color w:val="009FE3"/>
      <w:sz w:val="24"/>
    </w:rPr>
  </w:style>
  <w:style w:type="paragraph" w:styleId="Header">
    <w:name w:val="header"/>
    <w:basedOn w:val="Normal"/>
    <w:link w:val="HeaderChar"/>
    <w:uiPriority w:val="99"/>
    <w:semiHidden/>
    <w:rsid w:val="00C25D6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A60BA"/>
    <w:rPr>
      <w:rFonts w:ascii="Verdana" w:hAnsi="Verdana"/>
      <w:sz w:val="19"/>
    </w:rPr>
  </w:style>
  <w:style w:type="paragraph" w:styleId="Footer">
    <w:name w:val="footer"/>
    <w:basedOn w:val="Normal"/>
    <w:link w:val="FooterChar"/>
    <w:uiPriority w:val="99"/>
    <w:semiHidden/>
    <w:rsid w:val="00C25D66"/>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7A60BA"/>
    <w:rPr>
      <w:rFonts w:ascii="Verdana" w:hAnsi="Verdana"/>
      <w:sz w:val="19"/>
    </w:rPr>
  </w:style>
  <w:style w:type="table" w:styleId="TableGrid">
    <w:name w:val="Table Grid"/>
    <w:basedOn w:val="TableNormal"/>
    <w:uiPriority w:val="39"/>
    <w:rsid w:val="00C25D6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D66"/>
    <w:rPr>
      <w:color w:val="77777A"/>
      <w:u w:val="single"/>
    </w:rPr>
  </w:style>
  <w:style w:type="character" w:styleId="PlaceholderText">
    <w:name w:val="Placeholder Text"/>
    <w:basedOn w:val="DefaultParagraphFont"/>
    <w:uiPriority w:val="99"/>
    <w:semiHidden/>
    <w:rsid w:val="00C25D66"/>
    <w:rPr>
      <w:color w:val="808080"/>
    </w:rPr>
  </w:style>
  <w:style w:type="paragraph" w:customStyle="1" w:styleId="BoydenHeader1">
    <w:name w:val="Boyden_Header 1"/>
    <w:uiPriority w:val="7"/>
    <w:qFormat/>
    <w:rsid w:val="00F709E6"/>
    <w:pPr>
      <w:suppressAutoHyphens/>
      <w:spacing w:before="60" w:after="60" w:line="240" w:lineRule="auto"/>
      <w:ind w:left="-113"/>
    </w:pPr>
    <w:rPr>
      <w:color w:val="009FE3"/>
      <w:spacing w:val="-10"/>
      <w:sz w:val="48"/>
    </w:rPr>
  </w:style>
  <w:style w:type="paragraph" w:customStyle="1" w:styleId="BoydenHeading1">
    <w:name w:val="Boyden_Heading 1"/>
    <w:next w:val="BoydenBodyText"/>
    <w:qFormat/>
    <w:rsid w:val="003469F1"/>
    <w:pPr>
      <w:suppressAutoHyphens/>
      <w:spacing w:before="240" w:after="240" w:line="240" w:lineRule="auto"/>
    </w:pPr>
    <w:rPr>
      <w:b/>
    </w:rPr>
  </w:style>
  <w:style w:type="paragraph" w:customStyle="1" w:styleId="BoydenBullet1">
    <w:name w:val="Boyden_Bullet 1"/>
    <w:uiPriority w:val="2"/>
    <w:qFormat/>
    <w:rsid w:val="00096B99"/>
    <w:pPr>
      <w:numPr>
        <w:numId w:val="1"/>
      </w:numPr>
      <w:suppressAutoHyphens/>
      <w:spacing w:before="60" w:after="60" w:line="240" w:lineRule="auto"/>
      <w:ind w:left="357" w:hanging="357"/>
    </w:pPr>
    <w:rPr>
      <w:sz w:val="18"/>
    </w:rPr>
  </w:style>
  <w:style w:type="paragraph" w:customStyle="1" w:styleId="BoydenAddress">
    <w:name w:val="Boyden_Address"/>
    <w:uiPriority w:val="4"/>
    <w:qFormat/>
    <w:rsid w:val="00096B99"/>
    <w:pPr>
      <w:spacing w:line="260" w:lineRule="exact"/>
    </w:pPr>
    <w:rPr>
      <w:sz w:val="18"/>
    </w:rPr>
  </w:style>
  <w:style w:type="paragraph" w:customStyle="1" w:styleId="BoydenAddressBold">
    <w:name w:val="Boyden_Address Bold"/>
    <w:next w:val="BoydenAddress"/>
    <w:uiPriority w:val="3"/>
    <w:qFormat/>
    <w:rsid w:val="00096B99"/>
    <w:pPr>
      <w:suppressAutoHyphens/>
      <w:spacing w:line="260" w:lineRule="exact"/>
    </w:pPr>
    <w:rPr>
      <w:b/>
      <w:sz w:val="18"/>
    </w:rPr>
  </w:style>
  <w:style w:type="numbering" w:customStyle="1" w:styleId="Style1">
    <w:name w:val="Style1"/>
    <w:uiPriority w:val="99"/>
    <w:rsid w:val="00213E73"/>
  </w:style>
  <w:style w:type="paragraph" w:customStyle="1" w:styleId="BoydenHeading2">
    <w:name w:val="Boyden_Heading 2"/>
    <w:next w:val="BoydenBodyText"/>
    <w:qFormat/>
    <w:rsid w:val="00096B99"/>
    <w:pPr>
      <w:spacing w:before="240" w:line="240" w:lineRule="auto"/>
    </w:pPr>
    <w:rPr>
      <w:b/>
      <w:sz w:val="18"/>
    </w:rPr>
  </w:style>
  <w:style w:type="paragraph" w:customStyle="1" w:styleId="BoydenBodyTextIndent">
    <w:name w:val="Boyden_Body Text Indent"/>
    <w:uiPriority w:val="1"/>
    <w:qFormat/>
    <w:rsid w:val="00096B99"/>
    <w:pPr>
      <w:suppressAutoHyphens/>
      <w:spacing w:before="40" w:after="40" w:line="240" w:lineRule="auto"/>
      <w:ind w:left="284"/>
    </w:pPr>
    <w:rPr>
      <w:sz w:val="18"/>
    </w:rPr>
  </w:style>
  <w:style w:type="paragraph" w:customStyle="1" w:styleId="BoydenBodyTextItalic">
    <w:name w:val="Boyden_Body Text Italic"/>
    <w:uiPriority w:val="1"/>
    <w:qFormat/>
    <w:rsid w:val="00096B99"/>
    <w:pPr>
      <w:spacing w:before="60" w:after="60" w:line="240" w:lineRule="auto"/>
    </w:pPr>
    <w:rPr>
      <w:i/>
      <w:sz w:val="18"/>
    </w:rPr>
  </w:style>
  <w:style w:type="paragraph" w:styleId="BalloonText">
    <w:name w:val="Balloon Text"/>
    <w:basedOn w:val="Normal"/>
    <w:link w:val="BalloonTextChar"/>
    <w:uiPriority w:val="99"/>
    <w:semiHidden/>
    <w:unhideWhenUsed/>
    <w:rsid w:val="00391E6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E6D"/>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character" w:styleId="UnresolvedMention">
    <w:name w:val="Unresolved Mention"/>
    <w:basedOn w:val="DefaultParagraphFont"/>
    <w:uiPriority w:val="99"/>
    <w:semiHidden/>
    <w:unhideWhenUsed/>
    <w:rsid w:val="001F0587"/>
    <w:rPr>
      <w:color w:val="605E5C"/>
      <w:shd w:val="clear" w:color="auto" w:fill="E1DFDD"/>
    </w:rPr>
  </w:style>
  <w:style w:type="paragraph" w:styleId="ListParagraph">
    <w:name w:val="List Paragraph"/>
    <w:basedOn w:val="Normal"/>
    <w:uiPriority w:val="34"/>
    <w:qFormat/>
    <w:rsid w:val="00806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gaudreault@boyde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KgbG0oCW5S405lFVYDuHA30Sfw==">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Bush</dc:creator>
  <cp:lastModifiedBy>Marlyn Cook</cp:lastModifiedBy>
  <cp:revision>2</cp:revision>
  <dcterms:created xsi:type="dcterms:W3CDTF">2022-08-30T16:59:00Z</dcterms:created>
  <dcterms:modified xsi:type="dcterms:W3CDTF">2022-08-30T16:59:00Z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0x0101007005EE8A0064F742B74F733C944D1971</vt:lpwstr>
  </property>
</Properties>
</file>